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EFB25" w14:textId="68BD5D61" w:rsidR="00AB0E60" w:rsidRPr="00743A07" w:rsidRDefault="00743A07" w:rsidP="00743A07">
      <w:pPr>
        <w:pStyle w:val="Titre"/>
        <w:jc w:val="center"/>
      </w:pPr>
      <w:r w:rsidRPr="00743A07">
        <w:t xml:space="preserve">Description de </w:t>
      </w:r>
      <w:r w:rsidR="00692CAF">
        <w:t>5</w:t>
      </w:r>
      <w:r w:rsidRPr="00743A07">
        <w:t xml:space="preserve"> scénarios métier et des besoins fonctionnels associés</w:t>
      </w:r>
    </w:p>
    <w:p w14:paraId="0103AE38" w14:textId="77777777" w:rsidR="006F469F" w:rsidRDefault="006F469F" w:rsidP="001D1A71">
      <w:pPr>
        <w:jc w:val="center"/>
      </w:pPr>
    </w:p>
    <w:sdt>
      <w:sdtPr>
        <w:rPr>
          <w:rFonts w:asciiTheme="minorHAnsi" w:eastAsiaTheme="minorEastAsia" w:hAnsiTheme="minorHAnsi" w:cstheme="minorBidi"/>
          <w:color w:val="auto"/>
          <w:sz w:val="24"/>
          <w:szCs w:val="24"/>
          <w:lang w:eastAsia="en-US"/>
        </w:rPr>
        <w:id w:val="-2142868515"/>
        <w:docPartObj>
          <w:docPartGallery w:val="Table of Contents"/>
          <w:docPartUnique/>
        </w:docPartObj>
      </w:sdtPr>
      <w:sdtEndPr>
        <w:rPr>
          <w:rFonts w:ascii="Montserrat" w:hAnsi="Montserrat"/>
          <w:b/>
          <w:bCs/>
          <w:sz w:val="20"/>
        </w:rPr>
      </w:sdtEndPr>
      <w:sdtContent>
        <w:p w14:paraId="294F2C52" w14:textId="6D3C5F5F" w:rsidR="00723CD8" w:rsidRPr="00743A07" w:rsidRDefault="00723CD8">
          <w:pPr>
            <w:pStyle w:val="En-ttedetabledesmatires"/>
          </w:pPr>
          <w:r w:rsidRPr="00743A07">
            <w:t>Table des matières</w:t>
          </w:r>
        </w:p>
        <w:p w14:paraId="29ACE07B" w14:textId="34DB2551" w:rsidR="003B48DE" w:rsidRPr="00743A07" w:rsidRDefault="00723CD8">
          <w:pPr>
            <w:pStyle w:val="TM1"/>
            <w:tabs>
              <w:tab w:val="right" w:leader="dot" w:pos="9016"/>
            </w:tabs>
            <w:rPr>
              <w:rFonts w:eastAsiaTheme="minorEastAsia"/>
              <w:noProof/>
              <w:kern w:val="2"/>
              <w:lang w:eastAsia="fr-FR"/>
              <w14:ligatures w14:val="standardContextual"/>
            </w:rPr>
          </w:pPr>
          <w:r w:rsidRPr="00743A07">
            <w:fldChar w:fldCharType="begin"/>
          </w:r>
          <w:r w:rsidRPr="00743A07">
            <w:instrText xml:space="preserve"> TOC \o "1-3" \h \z \u </w:instrText>
          </w:r>
          <w:r w:rsidRPr="00743A07">
            <w:fldChar w:fldCharType="separate"/>
          </w:r>
          <w:hyperlink w:anchor="_Toc188265367" w:history="1">
            <w:r w:rsidR="003B48DE" w:rsidRPr="00743A07">
              <w:rPr>
                <w:rStyle w:val="Lienhypertexte"/>
                <w:noProof/>
              </w:rPr>
              <w:t>Scénario n°1</w:t>
            </w:r>
            <w:r w:rsidR="003B48DE" w:rsidRPr="00743A07">
              <w:rPr>
                <w:rStyle w:val="Lienhypertexte"/>
                <w:rFonts w:ascii="Cambria" w:hAnsi="Cambria" w:cs="Cambria"/>
                <w:noProof/>
              </w:rPr>
              <w:t> </w:t>
            </w:r>
            <w:r w:rsidR="003B48DE" w:rsidRPr="00743A07">
              <w:rPr>
                <w:rStyle w:val="Lienhypertexte"/>
                <w:noProof/>
              </w:rPr>
              <w:t>: Gestion d</w:t>
            </w:r>
            <w:r w:rsidR="003B48DE" w:rsidRPr="00743A07">
              <w:rPr>
                <w:rStyle w:val="Lienhypertexte"/>
                <w:rFonts w:cs="Montserrat"/>
                <w:noProof/>
              </w:rPr>
              <w:t>’</w:t>
            </w:r>
            <w:r w:rsidR="003B48DE" w:rsidRPr="00743A07">
              <w:rPr>
                <w:rStyle w:val="Lienhypertexte"/>
                <w:noProof/>
              </w:rPr>
              <w:t>un essai clinique au design adaptatif et pr</w:t>
            </w:r>
            <w:r w:rsidR="003B48DE" w:rsidRPr="00743A07">
              <w:rPr>
                <w:rStyle w:val="Lienhypertexte"/>
                <w:rFonts w:cs="Montserrat"/>
                <w:noProof/>
              </w:rPr>
              <w:t>é</w:t>
            </w:r>
            <w:r w:rsidR="003B48DE" w:rsidRPr="00743A07">
              <w:rPr>
                <w:rStyle w:val="Lienhypertexte"/>
                <w:noProof/>
              </w:rPr>
              <w:t>paration complexe avec amendement protocolaire</w:t>
            </w:r>
            <w:r w:rsidR="003B48DE" w:rsidRPr="00743A07">
              <w:rPr>
                <w:noProof/>
                <w:webHidden/>
              </w:rPr>
              <w:tab/>
            </w:r>
            <w:r w:rsidR="003B48DE" w:rsidRPr="00743A07">
              <w:rPr>
                <w:noProof/>
                <w:webHidden/>
              </w:rPr>
              <w:fldChar w:fldCharType="begin"/>
            </w:r>
            <w:r w:rsidR="003B48DE" w:rsidRPr="00743A07">
              <w:rPr>
                <w:noProof/>
                <w:webHidden/>
              </w:rPr>
              <w:instrText xml:space="preserve"> PAGEREF _Toc188265367 \h </w:instrText>
            </w:r>
            <w:r w:rsidR="003B48DE" w:rsidRPr="00743A07">
              <w:rPr>
                <w:noProof/>
                <w:webHidden/>
              </w:rPr>
            </w:r>
            <w:r w:rsidR="003B48DE" w:rsidRPr="00743A07">
              <w:rPr>
                <w:noProof/>
                <w:webHidden/>
              </w:rPr>
              <w:fldChar w:fldCharType="separate"/>
            </w:r>
            <w:r w:rsidR="003B48DE" w:rsidRPr="00743A07">
              <w:rPr>
                <w:noProof/>
                <w:webHidden/>
              </w:rPr>
              <w:t>1</w:t>
            </w:r>
            <w:r w:rsidR="003B48DE" w:rsidRPr="00743A07">
              <w:rPr>
                <w:noProof/>
                <w:webHidden/>
              </w:rPr>
              <w:fldChar w:fldCharType="end"/>
            </w:r>
          </w:hyperlink>
        </w:p>
        <w:p w14:paraId="682C938A" w14:textId="00304D5A" w:rsidR="003B48DE" w:rsidRPr="00743A07" w:rsidRDefault="00636DB2">
          <w:pPr>
            <w:pStyle w:val="TM1"/>
            <w:tabs>
              <w:tab w:val="right" w:leader="dot" w:pos="9016"/>
            </w:tabs>
            <w:rPr>
              <w:rFonts w:eastAsiaTheme="minorEastAsia"/>
              <w:noProof/>
              <w:kern w:val="2"/>
              <w:lang w:eastAsia="fr-FR"/>
              <w14:ligatures w14:val="standardContextual"/>
            </w:rPr>
          </w:pPr>
          <w:hyperlink w:anchor="_Toc188265368" w:history="1">
            <w:r w:rsidR="003B48DE" w:rsidRPr="00743A07">
              <w:rPr>
                <w:rStyle w:val="Lienhypertexte"/>
                <w:noProof/>
              </w:rPr>
              <w:t>Scénario n°2</w:t>
            </w:r>
            <w:r w:rsidR="003B48DE" w:rsidRPr="00743A07">
              <w:rPr>
                <w:rStyle w:val="Lienhypertexte"/>
                <w:rFonts w:ascii="Cambria" w:hAnsi="Cambria" w:cs="Cambria"/>
                <w:noProof/>
              </w:rPr>
              <w:t> </w:t>
            </w:r>
            <w:r w:rsidR="003B48DE" w:rsidRPr="00743A07">
              <w:rPr>
                <w:rStyle w:val="Lienhypertexte"/>
                <w:noProof/>
              </w:rPr>
              <w:t>: Essai d</w:t>
            </w:r>
            <w:r w:rsidR="003B48DE" w:rsidRPr="00743A07">
              <w:rPr>
                <w:rStyle w:val="Lienhypertexte"/>
                <w:rFonts w:cs="Montserrat"/>
                <w:noProof/>
              </w:rPr>
              <w:t>é</w:t>
            </w:r>
            <w:r w:rsidR="003B48DE" w:rsidRPr="00743A07">
              <w:rPr>
                <w:rStyle w:val="Lienhypertexte"/>
                <w:noProof/>
              </w:rPr>
              <w:t>centralis</w:t>
            </w:r>
            <w:r w:rsidR="003B48DE" w:rsidRPr="00743A07">
              <w:rPr>
                <w:rStyle w:val="Lienhypertexte"/>
                <w:rFonts w:cs="Montserrat"/>
                <w:noProof/>
              </w:rPr>
              <w:t>é</w:t>
            </w:r>
            <w:r w:rsidR="003B48DE" w:rsidRPr="00743A07">
              <w:rPr>
                <w:noProof/>
                <w:webHidden/>
              </w:rPr>
              <w:tab/>
            </w:r>
            <w:r w:rsidR="003B48DE" w:rsidRPr="00743A07">
              <w:rPr>
                <w:noProof/>
                <w:webHidden/>
              </w:rPr>
              <w:fldChar w:fldCharType="begin"/>
            </w:r>
            <w:r w:rsidR="003B48DE" w:rsidRPr="00743A07">
              <w:rPr>
                <w:noProof/>
                <w:webHidden/>
              </w:rPr>
              <w:instrText xml:space="preserve"> PAGEREF _Toc188265368 \h </w:instrText>
            </w:r>
            <w:r w:rsidR="003B48DE" w:rsidRPr="00743A07">
              <w:rPr>
                <w:noProof/>
                <w:webHidden/>
              </w:rPr>
            </w:r>
            <w:r w:rsidR="003B48DE" w:rsidRPr="00743A07">
              <w:rPr>
                <w:noProof/>
                <w:webHidden/>
              </w:rPr>
              <w:fldChar w:fldCharType="separate"/>
            </w:r>
            <w:r w:rsidR="003B48DE" w:rsidRPr="00743A07">
              <w:rPr>
                <w:noProof/>
                <w:webHidden/>
              </w:rPr>
              <w:t>3</w:t>
            </w:r>
            <w:r w:rsidR="003B48DE" w:rsidRPr="00743A07">
              <w:rPr>
                <w:noProof/>
                <w:webHidden/>
              </w:rPr>
              <w:fldChar w:fldCharType="end"/>
            </w:r>
          </w:hyperlink>
        </w:p>
        <w:p w14:paraId="11251291" w14:textId="6BE9833A" w:rsidR="003B48DE" w:rsidRPr="00743A07" w:rsidRDefault="00636DB2">
          <w:pPr>
            <w:pStyle w:val="TM1"/>
            <w:tabs>
              <w:tab w:val="right" w:leader="dot" w:pos="9016"/>
            </w:tabs>
            <w:rPr>
              <w:rFonts w:eastAsiaTheme="minorEastAsia"/>
              <w:noProof/>
              <w:kern w:val="2"/>
              <w:lang w:eastAsia="fr-FR"/>
              <w14:ligatures w14:val="standardContextual"/>
            </w:rPr>
          </w:pPr>
          <w:hyperlink w:anchor="_Toc188265369" w:history="1">
            <w:r w:rsidR="003B48DE" w:rsidRPr="00743A07">
              <w:rPr>
                <w:rStyle w:val="Lienhypertexte"/>
                <w:noProof/>
              </w:rPr>
              <w:t>Scénario n°3</w:t>
            </w:r>
            <w:r w:rsidR="003B48DE" w:rsidRPr="00743A07">
              <w:rPr>
                <w:rStyle w:val="Lienhypertexte"/>
                <w:rFonts w:ascii="Cambria" w:hAnsi="Cambria" w:cs="Cambria"/>
                <w:noProof/>
              </w:rPr>
              <w:t> </w:t>
            </w:r>
            <w:r w:rsidR="003B48DE" w:rsidRPr="00743A07">
              <w:rPr>
                <w:rStyle w:val="Lienhypertexte"/>
                <w:noProof/>
              </w:rPr>
              <w:t xml:space="preserve">: Essai avec mise </w:t>
            </w:r>
            <w:r w:rsidR="003B48DE" w:rsidRPr="00743A07">
              <w:rPr>
                <w:rStyle w:val="Lienhypertexte"/>
                <w:rFonts w:cs="Montserrat"/>
                <w:noProof/>
              </w:rPr>
              <w:t>à</w:t>
            </w:r>
            <w:r w:rsidR="003B48DE" w:rsidRPr="00743A07">
              <w:rPr>
                <w:rStyle w:val="Lienhypertexte"/>
                <w:noProof/>
              </w:rPr>
              <w:t xml:space="preserve"> disposition (= mise en dotation)</w:t>
            </w:r>
            <w:r w:rsidR="003B48DE" w:rsidRPr="00743A07">
              <w:rPr>
                <w:noProof/>
                <w:webHidden/>
              </w:rPr>
              <w:tab/>
            </w:r>
            <w:r w:rsidR="003B48DE" w:rsidRPr="00743A07">
              <w:rPr>
                <w:noProof/>
                <w:webHidden/>
              </w:rPr>
              <w:fldChar w:fldCharType="begin"/>
            </w:r>
            <w:r w:rsidR="003B48DE" w:rsidRPr="00743A07">
              <w:rPr>
                <w:noProof/>
                <w:webHidden/>
              </w:rPr>
              <w:instrText xml:space="preserve"> PAGEREF _Toc188265369 \h </w:instrText>
            </w:r>
            <w:r w:rsidR="003B48DE" w:rsidRPr="00743A07">
              <w:rPr>
                <w:noProof/>
                <w:webHidden/>
              </w:rPr>
            </w:r>
            <w:r w:rsidR="003B48DE" w:rsidRPr="00743A07">
              <w:rPr>
                <w:noProof/>
                <w:webHidden/>
              </w:rPr>
              <w:fldChar w:fldCharType="separate"/>
            </w:r>
            <w:r w:rsidR="003B48DE" w:rsidRPr="00743A07">
              <w:rPr>
                <w:noProof/>
                <w:webHidden/>
              </w:rPr>
              <w:t>4</w:t>
            </w:r>
            <w:r w:rsidR="003B48DE" w:rsidRPr="00743A07">
              <w:rPr>
                <w:noProof/>
                <w:webHidden/>
              </w:rPr>
              <w:fldChar w:fldCharType="end"/>
            </w:r>
          </w:hyperlink>
        </w:p>
        <w:p w14:paraId="5645FAB3" w14:textId="43C8BDD8" w:rsidR="003B48DE" w:rsidRPr="00743A07" w:rsidRDefault="00636DB2">
          <w:pPr>
            <w:pStyle w:val="TM1"/>
            <w:tabs>
              <w:tab w:val="right" w:leader="dot" w:pos="9016"/>
            </w:tabs>
            <w:rPr>
              <w:rFonts w:eastAsiaTheme="minorEastAsia"/>
              <w:noProof/>
              <w:kern w:val="2"/>
              <w:lang w:eastAsia="fr-FR"/>
              <w14:ligatures w14:val="standardContextual"/>
            </w:rPr>
          </w:pPr>
          <w:hyperlink w:anchor="_Toc188265370" w:history="1">
            <w:r w:rsidR="003B48DE" w:rsidRPr="00743A07">
              <w:rPr>
                <w:rStyle w:val="Lienhypertexte"/>
                <w:noProof/>
              </w:rPr>
              <w:t>Scénario n°4</w:t>
            </w:r>
            <w:r w:rsidR="003B48DE" w:rsidRPr="00743A07">
              <w:rPr>
                <w:rStyle w:val="Lienhypertexte"/>
                <w:rFonts w:ascii="Cambria" w:hAnsi="Cambria" w:cs="Cambria"/>
                <w:noProof/>
              </w:rPr>
              <w:t> </w:t>
            </w:r>
            <w:r w:rsidR="003B48DE" w:rsidRPr="00743A07">
              <w:rPr>
                <w:rStyle w:val="Lienhypertexte"/>
                <w:noProof/>
              </w:rPr>
              <w:t xml:space="preserve">: Investigation clinique (= </w:t>
            </w:r>
            <w:r w:rsidR="003B48DE" w:rsidRPr="00743A07">
              <w:rPr>
                <w:rStyle w:val="Lienhypertexte"/>
                <w:rFonts w:cs="Montserrat"/>
                <w:noProof/>
              </w:rPr>
              <w:t>é</w:t>
            </w:r>
            <w:r w:rsidR="003B48DE" w:rsidRPr="00743A07">
              <w:rPr>
                <w:rStyle w:val="Lienhypertexte"/>
                <w:noProof/>
              </w:rPr>
              <w:t>tudes cliniques portant sur les dispositifs médicaux)</w:t>
            </w:r>
            <w:r w:rsidR="003B48DE" w:rsidRPr="00743A07">
              <w:rPr>
                <w:noProof/>
                <w:webHidden/>
              </w:rPr>
              <w:tab/>
            </w:r>
            <w:r w:rsidR="003B48DE" w:rsidRPr="00743A07">
              <w:rPr>
                <w:noProof/>
                <w:webHidden/>
              </w:rPr>
              <w:fldChar w:fldCharType="begin"/>
            </w:r>
            <w:r w:rsidR="003B48DE" w:rsidRPr="00743A07">
              <w:rPr>
                <w:noProof/>
                <w:webHidden/>
              </w:rPr>
              <w:instrText xml:space="preserve"> PAGEREF _Toc188265370 \h </w:instrText>
            </w:r>
            <w:r w:rsidR="003B48DE" w:rsidRPr="00743A07">
              <w:rPr>
                <w:noProof/>
                <w:webHidden/>
              </w:rPr>
            </w:r>
            <w:r w:rsidR="003B48DE" w:rsidRPr="00743A07">
              <w:rPr>
                <w:noProof/>
                <w:webHidden/>
              </w:rPr>
              <w:fldChar w:fldCharType="separate"/>
            </w:r>
            <w:r w:rsidR="003B48DE" w:rsidRPr="00743A07">
              <w:rPr>
                <w:noProof/>
                <w:webHidden/>
              </w:rPr>
              <w:t>4</w:t>
            </w:r>
            <w:r w:rsidR="003B48DE" w:rsidRPr="00743A07">
              <w:rPr>
                <w:noProof/>
                <w:webHidden/>
              </w:rPr>
              <w:fldChar w:fldCharType="end"/>
            </w:r>
          </w:hyperlink>
        </w:p>
        <w:p w14:paraId="55AF7D71" w14:textId="2DC0D604" w:rsidR="003B48DE" w:rsidRPr="00743A07" w:rsidRDefault="00636DB2">
          <w:pPr>
            <w:pStyle w:val="TM1"/>
            <w:tabs>
              <w:tab w:val="right" w:leader="dot" w:pos="9016"/>
            </w:tabs>
            <w:rPr>
              <w:rFonts w:eastAsiaTheme="minorEastAsia"/>
              <w:noProof/>
              <w:kern w:val="2"/>
              <w:lang w:eastAsia="fr-FR"/>
              <w14:ligatures w14:val="standardContextual"/>
            </w:rPr>
          </w:pPr>
          <w:hyperlink w:anchor="_Toc188265371" w:history="1">
            <w:r w:rsidR="003B48DE" w:rsidRPr="00743A07">
              <w:rPr>
                <w:rStyle w:val="Lienhypertexte"/>
                <w:noProof/>
              </w:rPr>
              <w:t>Scénario n°5</w:t>
            </w:r>
            <w:r w:rsidR="003B48DE" w:rsidRPr="00743A07">
              <w:rPr>
                <w:rStyle w:val="Lienhypertexte"/>
                <w:rFonts w:ascii="Cambria" w:hAnsi="Cambria" w:cs="Cambria"/>
                <w:noProof/>
              </w:rPr>
              <w:t> </w:t>
            </w:r>
            <w:r w:rsidR="003B48DE" w:rsidRPr="00743A07">
              <w:rPr>
                <w:rStyle w:val="Lienhypertexte"/>
                <w:noProof/>
              </w:rPr>
              <w:t xml:space="preserve">: Essai clinique de type </w:t>
            </w:r>
            <w:r w:rsidR="003B48DE" w:rsidRPr="00743A07">
              <w:rPr>
                <w:rStyle w:val="Lienhypertexte"/>
                <w:rFonts w:cs="Montserrat"/>
                <w:noProof/>
              </w:rPr>
              <w:t>«</w:t>
            </w:r>
            <w:r w:rsidR="003B48DE" w:rsidRPr="00743A07">
              <w:rPr>
                <w:rStyle w:val="Lienhypertexte"/>
                <w:rFonts w:ascii="Cambria" w:hAnsi="Cambria" w:cs="Cambria"/>
                <w:noProof/>
              </w:rPr>
              <w:t> </w:t>
            </w:r>
            <w:r w:rsidR="003B48DE" w:rsidRPr="00743A07">
              <w:rPr>
                <w:rStyle w:val="Lienhypertexte"/>
                <w:noProof/>
              </w:rPr>
              <w:t>umbrella</w:t>
            </w:r>
            <w:r w:rsidR="003B48DE" w:rsidRPr="00743A07">
              <w:rPr>
                <w:rStyle w:val="Lienhypertexte"/>
                <w:rFonts w:ascii="Cambria" w:hAnsi="Cambria" w:cs="Cambria"/>
                <w:noProof/>
              </w:rPr>
              <w:t> </w:t>
            </w:r>
            <w:r w:rsidR="003B48DE" w:rsidRPr="00743A07">
              <w:rPr>
                <w:rStyle w:val="Lienhypertexte"/>
                <w:rFonts w:cs="Montserrat"/>
                <w:noProof/>
              </w:rPr>
              <w:t>»</w:t>
            </w:r>
            <w:r w:rsidR="003B48DE" w:rsidRPr="00743A07">
              <w:rPr>
                <w:rStyle w:val="Lienhypertexte"/>
                <w:noProof/>
              </w:rPr>
              <w:t xml:space="preserve"> portant sur une th</w:t>
            </w:r>
            <w:r w:rsidR="003B48DE" w:rsidRPr="00743A07">
              <w:rPr>
                <w:rStyle w:val="Lienhypertexte"/>
                <w:rFonts w:cs="Montserrat"/>
                <w:noProof/>
              </w:rPr>
              <w:t>é</w:t>
            </w:r>
            <w:r w:rsidR="003B48DE" w:rsidRPr="00743A07">
              <w:rPr>
                <w:rStyle w:val="Lienhypertexte"/>
                <w:noProof/>
              </w:rPr>
              <w:t>rapie g</w:t>
            </w:r>
            <w:r w:rsidR="003B48DE" w:rsidRPr="00743A07">
              <w:rPr>
                <w:rStyle w:val="Lienhypertexte"/>
                <w:rFonts w:cs="Montserrat"/>
                <w:noProof/>
              </w:rPr>
              <w:t>é</w:t>
            </w:r>
            <w:r w:rsidR="003B48DE" w:rsidRPr="00743A07">
              <w:rPr>
                <w:rStyle w:val="Lienhypertexte"/>
                <w:noProof/>
              </w:rPr>
              <w:t>nique</w:t>
            </w:r>
            <w:r w:rsidR="003B48DE" w:rsidRPr="00743A07">
              <w:rPr>
                <w:noProof/>
                <w:webHidden/>
              </w:rPr>
              <w:tab/>
            </w:r>
            <w:r w:rsidR="003B48DE" w:rsidRPr="00743A07">
              <w:rPr>
                <w:noProof/>
                <w:webHidden/>
              </w:rPr>
              <w:fldChar w:fldCharType="begin"/>
            </w:r>
            <w:r w:rsidR="003B48DE" w:rsidRPr="00743A07">
              <w:rPr>
                <w:noProof/>
                <w:webHidden/>
              </w:rPr>
              <w:instrText xml:space="preserve"> PAGEREF _Toc188265371 \h </w:instrText>
            </w:r>
            <w:r w:rsidR="003B48DE" w:rsidRPr="00743A07">
              <w:rPr>
                <w:noProof/>
                <w:webHidden/>
              </w:rPr>
            </w:r>
            <w:r w:rsidR="003B48DE" w:rsidRPr="00743A07">
              <w:rPr>
                <w:noProof/>
                <w:webHidden/>
              </w:rPr>
              <w:fldChar w:fldCharType="separate"/>
            </w:r>
            <w:r w:rsidR="003B48DE" w:rsidRPr="00743A07">
              <w:rPr>
                <w:noProof/>
                <w:webHidden/>
              </w:rPr>
              <w:t>5</w:t>
            </w:r>
            <w:r w:rsidR="003B48DE" w:rsidRPr="00743A07">
              <w:rPr>
                <w:noProof/>
                <w:webHidden/>
              </w:rPr>
              <w:fldChar w:fldCharType="end"/>
            </w:r>
          </w:hyperlink>
        </w:p>
        <w:p w14:paraId="30DDB0BB" w14:textId="042061FA" w:rsidR="002136A6" w:rsidRDefault="00723CD8" w:rsidP="003B48DE">
          <w:r w:rsidRPr="00743A07">
            <w:rPr>
              <w:b/>
              <w:bCs/>
            </w:rPr>
            <w:fldChar w:fldCharType="end"/>
          </w:r>
        </w:p>
      </w:sdtContent>
    </w:sdt>
    <w:p w14:paraId="1F84871F" w14:textId="7224C361" w:rsidR="00D25661" w:rsidRDefault="00723CD8" w:rsidP="002136A6">
      <w:pPr>
        <w:pStyle w:val="Titre1"/>
      </w:pPr>
      <w:bookmarkStart w:id="0" w:name="_Toc188265367"/>
      <w:r>
        <w:t xml:space="preserve">Scénario n°1 : </w:t>
      </w:r>
      <w:r w:rsidR="00D25661">
        <w:t>Gestion d’un essai clinique au design adaptatif et préparation complexe avec amendement protocolaire</w:t>
      </w:r>
      <w:bookmarkEnd w:id="0"/>
    </w:p>
    <w:p w14:paraId="0A0761BF" w14:textId="77777777" w:rsidR="00743A07" w:rsidRPr="00743A07" w:rsidRDefault="00743A07" w:rsidP="00743A07"/>
    <w:p w14:paraId="343CA72F" w14:textId="730F58EC" w:rsidR="00D25661" w:rsidRPr="00B87485" w:rsidRDefault="00D25661" w:rsidP="00743A07">
      <w:pPr>
        <w:pStyle w:val="Titre2"/>
      </w:pPr>
      <w:r w:rsidRPr="00B87485">
        <w:t>Contexte général </w:t>
      </w:r>
    </w:p>
    <w:p w14:paraId="6C332953" w14:textId="3A9AA8A8" w:rsidR="005C4062" w:rsidRDefault="00D25661" w:rsidP="00B87485">
      <w:pPr>
        <w:jc w:val="both"/>
      </w:pPr>
      <w:r>
        <w:t xml:space="preserve">L’hôpital participe à un essai de phase I/II avec un design adaptatif impliquant une préparation complexe de médicament expérimentaux. L’essai </w:t>
      </w:r>
      <w:r w:rsidR="00B87485">
        <w:t xml:space="preserve">comporte plusieurs cohortes d’escalade de doses avec ajustements possibles en fonction des résultats intermédiaires. Au cours de l’essai, un amendement au protocole est émis, modifiant les doses et la fréquence des préparations/dispensations. </w:t>
      </w:r>
    </w:p>
    <w:p w14:paraId="3059BA02" w14:textId="614BFD10" w:rsidR="00B87485" w:rsidRDefault="00B87485" w:rsidP="00743A07">
      <w:pPr>
        <w:pStyle w:val="Titre2"/>
      </w:pPr>
      <w:r w:rsidRPr="00B87485">
        <w:t>Etapes du scénario</w:t>
      </w:r>
      <w:r w:rsidRPr="00B87485">
        <w:rPr>
          <w:rFonts w:ascii="Cambria" w:hAnsi="Cambria" w:cs="Cambria"/>
        </w:rPr>
        <w:t> </w:t>
      </w:r>
      <w:r w:rsidRPr="00B87485">
        <w:t xml:space="preserve">: </w:t>
      </w:r>
    </w:p>
    <w:p w14:paraId="3B16DCAC" w14:textId="77777777" w:rsidR="00743A07" w:rsidRPr="00743A07" w:rsidRDefault="00743A07" w:rsidP="00743A07"/>
    <w:p w14:paraId="31EE1CE4" w14:textId="77777777" w:rsidR="00743A07" w:rsidRDefault="001E1DCE" w:rsidP="00743A07">
      <w:pPr>
        <w:pStyle w:val="Paragraphedeliste"/>
        <w:numPr>
          <w:ilvl w:val="0"/>
          <w:numId w:val="4"/>
        </w:numPr>
      </w:pPr>
      <w:r>
        <w:t>Initialisation</w:t>
      </w:r>
      <w:r w:rsidR="00B87485">
        <w:t xml:space="preserve"> </w:t>
      </w:r>
      <w:r w:rsidR="000243A8">
        <w:t xml:space="preserve">de l’essai clinique </w:t>
      </w:r>
    </w:p>
    <w:p w14:paraId="06504345" w14:textId="77777777" w:rsidR="00526E99" w:rsidRDefault="000243A8" w:rsidP="00526E99">
      <w:pPr>
        <w:pStyle w:val="Paragraphedeliste"/>
        <w:numPr>
          <w:ilvl w:val="1"/>
          <w:numId w:val="4"/>
        </w:numPr>
      </w:pPr>
      <w:r>
        <w:t>Le promoteur soumet les détails</w:t>
      </w:r>
      <w:r w:rsidR="005C4062">
        <w:t xml:space="preserve"> liés au protocole</w:t>
      </w:r>
      <w:r w:rsidR="000561F7">
        <w:t>, les documents règlementaires</w:t>
      </w:r>
      <w:r w:rsidR="005C4062">
        <w:t xml:space="preserve"> </w:t>
      </w:r>
    </w:p>
    <w:p w14:paraId="47C63CDE" w14:textId="77777777" w:rsidR="00526E99" w:rsidRDefault="001E1DCE" w:rsidP="00526E99">
      <w:pPr>
        <w:pStyle w:val="Paragraphedeliste"/>
        <w:numPr>
          <w:ilvl w:val="2"/>
          <w:numId w:val="4"/>
        </w:numPr>
      </w:pPr>
      <w:r>
        <w:t xml:space="preserve">Essai clinique de phase I/II, en double insu, contrôlée, randomisée, </w:t>
      </w:r>
      <w:r w:rsidR="00192A96">
        <w:t xml:space="preserve">médicament X </w:t>
      </w:r>
      <w:r>
        <w:t>vs placebo, multicentrique</w:t>
      </w:r>
      <w:r w:rsidR="00192A96">
        <w:t xml:space="preserve">, dans le glioblastome en rechute après une première ligne de traitement. </w:t>
      </w:r>
    </w:p>
    <w:p w14:paraId="4576052E" w14:textId="77777777" w:rsidR="00526E99" w:rsidRDefault="001E1DCE" w:rsidP="00526E99">
      <w:pPr>
        <w:pStyle w:val="Paragraphedeliste"/>
        <w:numPr>
          <w:ilvl w:val="2"/>
          <w:numId w:val="4"/>
        </w:numPr>
      </w:pPr>
      <w:r>
        <w:t>3 cohortes une à 10mg/kg toutes les 4 semaines pendant 18 mois, une à 10mg/kg toutes les 8 semaines pendant 18 mois, une à 15mg/kg toutes les 4 semaines pendant 18 mois.</w:t>
      </w:r>
      <w:r w:rsidR="00EA6CD5">
        <w:t xml:space="preserve"> Chacune des cohortes comprend une </w:t>
      </w:r>
      <w:r w:rsidR="00E6626D">
        <w:t xml:space="preserve">phase d’induction </w:t>
      </w:r>
      <w:r w:rsidR="0003449F">
        <w:t xml:space="preserve">avec une administration par semaine </w:t>
      </w:r>
      <w:r w:rsidR="0003449F">
        <w:lastRenderedPageBreak/>
        <w:t xml:space="preserve">pendant 4 semaines. </w:t>
      </w:r>
      <w:r w:rsidR="00D64B77">
        <w:t>(</w:t>
      </w:r>
      <w:r w:rsidR="00D21313">
        <w:t>Fenêtre</w:t>
      </w:r>
      <w:r w:rsidR="00D64B77">
        <w:t xml:space="preserve"> autorisée +/-1 jour pendant l’induction +/- 5 jours ensuite)</w:t>
      </w:r>
    </w:p>
    <w:p w14:paraId="730F1784" w14:textId="77777777" w:rsidR="00526E99" w:rsidRDefault="00192A96" w:rsidP="00526E99">
      <w:pPr>
        <w:pStyle w:val="Paragraphedeliste"/>
        <w:numPr>
          <w:ilvl w:val="2"/>
          <w:numId w:val="4"/>
        </w:numPr>
      </w:pPr>
      <w:r>
        <w:t>F</w:t>
      </w:r>
      <w:r w:rsidR="001141FC">
        <w:t>lacons</w:t>
      </w:r>
      <w:r w:rsidR="00E800C4">
        <w:t xml:space="preserve"> </w:t>
      </w:r>
      <w:r>
        <w:t xml:space="preserve">de </w:t>
      </w:r>
      <w:r w:rsidR="00C43D21">
        <w:t>2</w:t>
      </w:r>
      <w:r w:rsidR="00DB5362">
        <w:t>00</w:t>
      </w:r>
      <w:r w:rsidR="00C43D21">
        <w:t>mg</w:t>
      </w:r>
      <w:r w:rsidR="00DB5362">
        <w:t>/</w:t>
      </w:r>
      <w:proofErr w:type="spellStart"/>
      <w:r w:rsidR="00DB5362">
        <w:t>mL</w:t>
      </w:r>
      <w:proofErr w:type="spellEnd"/>
      <w:r w:rsidR="00DB5362">
        <w:t xml:space="preserve"> solution injectable</w:t>
      </w:r>
      <w:r w:rsidR="001141FC">
        <w:t xml:space="preserve"> attribués par numéro de kit et stocké</w:t>
      </w:r>
      <w:r w:rsidR="00DB5362">
        <w:t>s</w:t>
      </w:r>
      <w:r w:rsidR="001141FC">
        <w:t xml:space="preserve"> à -20°C (+/-5°C)</w:t>
      </w:r>
      <w:r w:rsidR="00DB2EAC">
        <w:t xml:space="preserve"> + Flacons de</w:t>
      </w:r>
      <w:r w:rsidR="00544753">
        <w:t xml:space="preserve"> 20mL de</w:t>
      </w:r>
      <w:r w:rsidR="00DB2EAC">
        <w:t xml:space="preserve"> diluant </w:t>
      </w:r>
      <w:r w:rsidR="00544753">
        <w:t xml:space="preserve">spécifique </w:t>
      </w:r>
      <w:r w:rsidR="00DB2EAC">
        <w:t>(flacons non numérotés)</w:t>
      </w:r>
      <w:r w:rsidR="00544753">
        <w:t>.</w:t>
      </w:r>
    </w:p>
    <w:p w14:paraId="0668899E" w14:textId="77777777" w:rsidR="00526E99" w:rsidRDefault="00DB2EAC" w:rsidP="00641C7B">
      <w:pPr>
        <w:pStyle w:val="Paragraphedeliste"/>
        <w:numPr>
          <w:ilvl w:val="1"/>
          <w:numId w:val="4"/>
        </w:numPr>
      </w:pPr>
      <w:r>
        <w:t xml:space="preserve">Préparation d’une seringue de 20mL contenant la quantité de médicament </w:t>
      </w:r>
      <w:r w:rsidR="008776A2">
        <w:t xml:space="preserve">X nécessaire pour la dose + quantité diluant nécessaire pour ajuster la seringue à 20mL </w:t>
      </w:r>
    </w:p>
    <w:p w14:paraId="3B7E05EE" w14:textId="77777777" w:rsidR="00526E99" w:rsidRDefault="005C4062" w:rsidP="00526E99">
      <w:pPr>
        <w:pStyle w:val="Paragraphedeliste"/>
        <w:numPr>
          <w:ilvl w:val="1"/>
          <w:numId w:val="4"/>
        </w:numPr>
      </w:pPr>
      <w:r>
        <w:t xml:space="preserve">Les surcoûts sont négociés et la convention signée </w:t>
      </w:r>
    </w:p>
    <w:p w14:paraId="5625392A" w14:textId="77777777" w:rsidR="00641C7B" w:rsidRDefault="001E1DCE" w:rsidP="00641C7B">
      <w:pPr>
        <w:pStyle w:val="Paragraphedeliste"/>
        <w:numPr>
          <w:ilvl w:val="1"/>
          <w:numId w:val="4"/>
        </w:numPr>
      </w:pPr>
      <w:r>
        <w:t xml:space="preserve">La visite </w:t>
      </w:r>
      <w:r w:rsidR="00284760">
        <w:t xml:space="preserve">de mise en place </w:t>
      </w:r>
      <w:r>
        <w:t xml:space="preserve">est programmée et réalisée </w:t>
      </w:r>
    </w:p>
    <w:p w14:paraId="4BA8AC87" w14:textId="5B8D488D" w:rsidR="001E1DCE" w:rsidRDefault="00284760" w:rsidP="00641C7B">
      <w:pPr>
        <w:pStyle w:val="Paragraphedeliste"/>
        <w:numPr>
          <w:ilvl w:val="2"/>
          <w:numId w:val="4"/>
        </w:numPr>
      </w:pPr>
      <w:r>
        <w:t xml:space="preserve">L’ensemble des documents nécessaire de l’essai clinique sont créés (ordonnance, fiche de préparation, circuit produit, </w:t>
      </w:r>
      <w:proofErr w:type="spellStart"/>
      <w:r>
        <w:t>etc</w:t>
      </w:r>
      <w:proofErr w:type="spellEnd"/>
      <w:r>
        <w:t xml:space="preserve">) </w:t>
      </w:r>
    </w:p>
    <w:p w14:paraId="5C3FF02E" w14:textId="77777777" w:rsidR="00641C7B" w:rsidRDefault="001E1DCE" w:rsidP="00641C7B">
      <w:pPr>
        <w:pStyle w:val="Paragraphedeliste"/>
        <w:numPr>
          <w:ilvl w:val="0"/>
          <w:numId w:val="4"/>
        </w:numPr>
      </w:pPr>
      <w:r>
        <w:t xml:space="preserve"> Premiers patients </w:t>
      </w:r>
    </w:p>
    <w:p w14:paraId="61CB410E" w14:textId="77777777" w:rsidR="00641C7B" w:rsidRDefault="001E1DCE" w:rsidP="00641C7B">
      <w:pPr>
        <w:pStyle w:val="Paragraphedeliste"/>
        <w:numPr>
          <w:ilvl w:val="1"/>
          <w:numId w:val="4"/>
        </w:numPr>
      </w:pPr>
      <w:r>
        <w:t>1</w:t>
      </w:r>
      <w:r w:rsidRPr="00641C7B">
        <w:rPr>
          <w:vertAlign w:val="superscript"/>
        </w:rPr>
        <w:t>ère</w:t>
      </w:r>
      <w:r>
        <w:t xml:space="preserve"> réception</w:t>
      </w:r>
    </w:p>
    <w:p w14:paraId="1B2522F5" w14:textId="77777777" w:rsidR="00641C7B" w:rsidRDefault="001E1DCE" w:rsidP="00641C7B">
      <w:pPr>
        <w:pStyle w:val="Paragraphedeliste"/>
        <w:numPr>
          <w:ilvl w:val="1"/>
          <w:numId w:val="4"/>
        </w:numPr>
      </w:pPr>
      <w:r>
        <w:t>1</w:t>
      </w:r>
      <w:r w:rsidRPr="00641C7B">
        <w:rPr>
          <w:vertAlign w:val="superscript"/>
        </w:rPr>
        <w:t>ère</w:t>
      </w:r>
      <w:r>
        <w:t xml:space="preserve"> inclusion, randomisation </w:t>
      </w:r>
    </w:p>
    <w:p w14:paraId="46DA58D3" w14:textId="77777777" w:rsidR="00641C7B" w:rsidRDefault="001E1DCE" w:rsidP="00641C7B">
      <w:pPr>
        <w:pStyle w:val="Paragraphedeliste"/>
        <w:numPr>
          <w:ilvl w:val="1"/>
          <w:numId w:val="4"/>
        </w:numPr>
      </w:pPr>
      <w:r>
        <w:t>1</w:t>
      </w:r>
      <w:r w:rsidRPr="00641C7B">
        <w:rPr>
          <w:vertAlign w:val="superscript"/>
        </w:rPr>
        <w:t>ère</w:t>
      </w:r>
      <w:r>
        <w:t xml:space="preserve"> préparation et dispensation </w:t>
      </w:r>
    </w:p>
    <w:p w14:paraId="17DAADA3" w14:textId="77777777" w:rsidR="00641C7B" w:rsidRDefault="00631EBF" w:rsidP="001E1DCE">
      <w:pPr>
        <w:pStyle w:val="Paragraphedeliste"/>
        <w:numPr>
          <w:ilvl w:val="1"/>
          <w:numId w:val="4"/>
        </w:numPr>
      </w:pPr>
      <w:r>
        <w:t>…</w:t>
      </w:r>
    </w:p>
    <w:p w14:paraId="3B4A3BE7" w14:textId="77777777" w:rsidR="00641C7B" w:rsidRDefault="00641C7B" w:rsidP="00641C7B">
      <w:pPr>
        <w:pStyle w:val="Paragraphedeliste"/>
        <w:ind w:left="1080"/>
      </w:pPr>
    </w:p>
    <w:p w14:paraId="6C7536E2" w14:textId="77777777" w:rsidR="00641C7B" w:rsidRDefault="001E1DCE" w:rsidP="00641C7B">
      <w:pPr>
        <w:pStyle w:val="Paragraphedeliste"/>
        <w:numPr>
          <w:ilvl w:val="0"/>
          <w:numId w:val="4"/>
        </w:numPr>
      </w:pPr>
      <w:r>
        <w:t xml:space="preserve"> Survenue d’un amendement au protocole </w:t>
      </w:r>
    </w:p>
    <w:p w14:paraId="0FA5A79E" w14:textId="66552B91" w:rsidR="001E1DCE" w:rsidRDefault="00640AD6" w:rsidP="00641C7B">
      <w:pPr>
        <w:pStyle w:val="Paragraphedeliste"/>
        <w:numPr>
          <w:ilvl w:val="1"/>
          <w:numId w:val="4"/>
        </w:numPr>
      </w:pPr>
      <w:r>
        <w:t>Tous les patients, à partir de la visite S</w:t>
      </w:r>
      <w:r w:rsidR="00C02FCC">
        <w:t>56 passent</w:t>
      </w:r>
      <w:r w:rsidR="000B3A5C">
        <w:t xml:space="preserve"> en ouvert à la posologie de</w:t>
      </w:r>
      <w:r w:rsidR="00C02FCC">
        <w:t xml:space="preserve"> </w:t>
      </w:r>
      <w:r w:rsidR="002B7CC4">
        <w:t>1</w:t>
      </w:r>
      <w:r w:rsidR="00A136FB">
        <w:t>5</w:t>
      </w:r>
      <w:r w:rsidR="002B7CC4">
        <w:t>mg/kg</w:t>
      </w:r>
      <w:r w:rsidR="000B3A5C">
        <w:t xml:space="preserve"> de médicament X</w:t>
      </w:r>
      <w:r w:rsidR="002B7CC4">
        <w:t xml:space="preserve"> toutes les </w:t>
      </w:r>
      <w:r w:rsidR="00A136FB">
        <w:t>4</w:t>
      </w:r>
      <w:r w:rsidR="002B7CC4">
        <w:t xml:space="preserve"> semaines</w:t>
      </w:r>
      <w:r w:rsidR="0003449F">
        <w:t xml:space="preserve">. </w:t>
      </w:r>
      <w:r w:rsidR="00A136FB">
        <w:t xml:space="preserve">La </w:t>
      </w:r>
      <w:r w:rsidR="0003449F">
        <w:t>phase d’induction sera mainten</w:t>
      </w:r>
      <w:r w:rsidR="00E6626D">
        <w:t>ue en double insu</w:t>
      </w:r>
      <w:r w:rsidR="00A136FB">
        <w:t xml:space="preserve"> (injection en double insu à S57 et S58)</w:t>
      </w:r>
    </w:p>
    <w:p w14:paraId="0D7BD0FB" w14:textId="77777777" w:rsidR="001E1DCE" w:rsidRDefault="001E1DCE" w:rsidP="001E1DCE"/>
    <w:p w14:paraId="249C11EE" w14:textId="2199FBC0" w:rsidR="001E1DCE" w:rsidRPr="001E1DCE" w:rsidRDefault="001E1DCE" w:rsidP="00641C7B">
      <w:pPr>
        <w:pStyle w:val="Titre2"/>
      </w:pPr>
      <w:r w:rsidRPr="001E1DCE">
        <w:t>E</w:t>
      </w:r>
      <w:r w:rsidR="00CC04C7">
        <w:t>xemples d’e</w:t>
      </w:r>
      <w:r w:rsidRPr="001E1DCE">
        <w:t>xigences fonctionnelles attendues</w:t>
      </w:r>
      <w:r w:rsidRPr="001E1DCE">
        <w:rPr>
          <w:rFonts w:ascii="Cambria" w:hAnsi="Cambria" w:cs="Cambria"/>
        </w:rPr>
        <w:t> </w:t>
      </w:r>
      <w:r w:rsidRPr="001E1DCE">
        <w:t xml:space="preserve">: </w:t>
      </w:r>
    </w:p>
    <w:p w14:paraId="04A379E0" w14:textId="65D9AA77" w:rsidR="00CD3077" w:rsidRPr="00641C7B" w:rsidRDefault="00631EBF" w:rsidP="00641C7B">
      <w:pPr>
        <w:pStyle w:val="Paragraphedeliste"/>
        <w:numPr>
          <w:ilvl w:val="0"/>
          <w:numId w:val="13"/>
        </w:numPr>
      </w:pPr>
      <w:r w:rsidRPr="00641C7B">
        <w:t>Gestion documentaire</w:t>
      </w:r>
      <w:r w:rsidRPr="00641C7B">
        <w:rPr>
          <w:rFonts w:ascii="Cambria" w:hAnsi="Cambria" w:cs="Cambria"/>
        </w:rPr>
        <w:t> </w:t>
      </w:r>
      <w:r w:rsidRPr="00641C7B">
        <w:t xml:space="preserve">: </w:t>
      </w:r>
      <w:r w:rsidR="00D85CEB" w:rsidRPr="00641C7B">
        <w:t>Enregistrement des documents règlementaires liés à l’étude</w:t>
      </w:r>
      <w:r w:rsidR="00937AC0" w:rsidRPr="00641C7B">
        <w:t xml:space="preserve"> et validation lorsqu’ils sont tous présents</w:t>
      </w:r>
      <w:r w:rsidR="00D85CEB" w:rsidRPr="00641C7B">
        <w:t xml:space="preserve"> </w:t>
      </w:r>
    </w:p>
    <w:p w14:paraId="4BA8BD9D" w14:textId="4834AB9E" w:rsidR="0069075A" w:rsidRPr="00641C7B" w:rsidRDefault="0069075A" w:rsidP="00641C7B">
      <w:pPr>
        <w:pStyle w:val="Paragraphedeliste"/>
        <w:numPr>
          <w:ilvl w:val="0"/>
          <w:numId w:val="13"/>
        </w:numPr>
        <w:rPr>
          <w:rStyle w:val="eop"/>
        </w:rPr>
      </w:pPr>
      <w:r w:rsidRPr="00641C7B">
        <w:rPr>
          <w:rStyle w:val="normaltextrun"/>
          <w:color w:val="000000"/>
          <w:shd w:val="clear" w:color="auto" w:fill="FFFFFF"/>
        </w:rPr>
        <w:t>Surcoûts</w:t>
      </w:r>
      <w:r w:rsidRPr="00641C7B">
        <w:rPr>
          <w:rStyle w:val="normaltextrun"/>
          <w:rFonts w:ascii="Times New Roman" w:hAnsi="Times New Roman" w:cs="Times New Roman"/>
          <w:color w:val="000000"/>
          <w:shd w:val="clear" w:color="auto" w:fill="FFFFFF"/>
        </w:rPr>
        <w:t> </w:t>
      </w:r>
      <w:r w:rsidRPr="00641C7B">
        <w:rPr>
          <w:rStyle w:val="normaltextrun"/>
          <w:color w:val="000000"/>
          <w:shd w:val="clear" w:color="auto" w:fill="FFFFFF"/>
        </w:rPr>
        <w:t>:</w:t>
      </w:r>
      <w:r w:rsidRPr="00641C7B">
        <w:rPr>
          <w:rStyle w:val="normaltextrun"/>
          <w:rFonts w:ascii="Cambria" w:hAnsi="Cambria" w:cs="Cambria"/>
          <w:color w:val="000000"/>
          <w:shd w:val="clear" w:color="auto" w:fill="FFFFFF"/>
        </w:rPr>
        <w:t> </w:t>
      </w:r>
      <w:r w:rsidRPr="00641C7B">
        <w:rPr>
          <w:rStyle w:val="normaltextrun"/>
          <w:color w:val="000000"/>
          <w:shd w:val="clear" w:color="auto" w:fill="FFFFFF"/>
        </w:rPr>
        <w:t xml:space="preserve"> modifiables et li</w:t>
      </w:r>
      <w:r w:rsidRPr="00641C7B">
        <w:rPr>
          <w:rStyle w:val="normaltextrun"/>
          <w:rFonts w:cs="Montserrat"/>
          <w:color w:val="000000"/>
          <w:shd w:val="clear" w:color="auto" w:fill="FFFFFF"/>
        </w:rPr>
        <w:t>é</w:t>
      </w:r>
      <w:r w:rsidRPr="00641C7B">
        <w:rPr>
          <w:rStyle w:val="normaltextrun"/>
          <w:color w:val="000000"/>
          <w:shd w:val="clear" w:color="auto" w:fill="FFFFFF"/>
        </w:rPr>
        <w:t xml:space="preserve">s </w:t>
      </w:r>
      <w:r w:rsidRPr="00641C7B">
        <w:rPr>
          <w:rStyle w:val="normaltextrun"/>
          <w:rFonts w:cs="Montserrat"/>
          <w:color w:val="000000"/>
          <w:shd w:val="clear" w:color="auto" w:fill="FFFFFF"/>
        </w:rPr>
        <w:t>à</w:t>
      </w:r>
      <w:r w:rsidRPr="00641C7B">
        <w:rPr>
          <w:rStyle w:val="normaltextrun"/>
          <w:color w:val="000000"/>
          <w:shd w:val="clear" w:color="auto" w:fill="FFFFFF"/>
        </w:rPr>
        <w:t xml:space="preserve"> chaque acte permettant facturation en fin d’étude, ou fractionnée en cours d’étude, en prenant en compte la possibilité d’actes supplémentaires non prévus.</w:t>
      </w:r>
      <w:r w:rsidRPr="00641C7B">
        <w:rPr>
          <w:rStyle w:val="normaltextrun"/>
          <w:rFonts w:ascii="Cambria" w:hAnsi="Cambria" w:cs="Cambria"/>
          <w:color w:val="000000"/>
          <w:shd w:val="clear" w:color="auto" w:fill="FFFFFF"/>
        </w:rPr>
        <w:t> </w:t>
      </w:r>
      <w:r w:rsidRPr="00641C7B">
        <w:rPr>
          <w:rStyle w:val="eop"/>
          <w:rFonts w:ascii="Cambria" w:hAnsi="Cambria" w:cs="Cambria"/>
          <w:color w:val="000000"/>
          <w:shd w:val="clear" w:color="auto" w:fill="FFFFFF"/>
        </w:rPr>
        <w:t> </w:t>
      </w:r>
    </w:p>
    <w:p w14:paraId="603A6022" w14:textId="02888D7E" w:rsidR="0069075A" w:rsidRPr="00641C7B" w:rsidRDefault="0069075A" w:rsidP="00641C7B">
      <w:pPr>
        <w:pStyle w:val="Paragraphedeliste"/>
        <w:numPr>
          <w:ilvl w:val="0"/>
          <w:numId w:val="13"/>
        </w:numPr>
        <w:rPr>
          <w:rStyle w:val="eop"/>
        </w:rPr>
      </w:pPr>
      <w:r w:rsidRPr="00641C7B">
        <w:rPr>
          <w:rStyle w:val="normaltextrun"/>
          <w:color w:val="000000"/>
          <w:shd w:val="clear" w:color="auto" w:fill="FFFFFF"/>
        </w:rPr>
        <w:t>Traçabilité des visites promoteur (la première étant la visite de sélection (adaptable en fonction de l’organisation de chaque centre)</w:t>
      </w:r>
      <w:r w:rsidRPr="00641C7B">
        <w:rPr>
          <w:rStyle w:val="eop"/>
          <w:rFonts w:ascii="Cambria" w:hAnsi="Cambria" w:cs="Cambria"/>
          <w:color w:val="000000"/>
          <w:shd w:val="clear" w:color="auto" w:fill="FFFFFF"/>
        </w:rPr>
        <w:t> </w:t>
      </w:r>
    </w:p>
    <w:p w14:paraId="58926C72" w14:textId="75FC0435" w:rsidR="00CD3077" w:rsidRPr="00641C7B" w:rsidRDefault="000F284A" w:rsidP="00641C7B">
      <w:pPr>
        <w:pStyle w:val="Paragraphedeliste"/>
        <w:numPr>
          <w:ilvl w:val="0"/>
          <w:numId w:val="13"/>
        </w:numPr>
      </w:pPr>
      <w:r w:rsidRPr="00641C7B">
        <w:t>Adaptabilité</w:t>
      </w:r>
      <w:r w:rsidRPr="00641C7B">
        <w:rPr>
          <w:rFonts w:ascii="Cambria" w:hAnsi="Cambria" w:cs="Cambria"/>
        </w:rPr>
        <w:t> </w:t>
      </w:r>
      <w:r w:rsidRPr="00641C7B">
        <w:t>: design de l</w:t>
      </w:r>
      <w:r w:rsidRPr="00641C7B">
        <w:rPr>
          <w:rFonts w:cs="Montserrat"/>
        </w:rPr>
        <w:t>’</w:t>
      </w:r>
      <w:r w:rsidRPr="00641C7B">
        <w:t>essai permettant c</w:t>
      </w:r>
      <w:r w:rsidR="006A2C22" w:rsidRPr="00641C7B">
        <w:t xml:space="preserve">réation </w:t>
      </w:r>
      <w:r w:rsidRPr="00641C7B">
        <w:t>«</w:t>
      </w:r>
      <w:r w:rsidRPr="00641C7B">
        <w:rPr>
          <w:rFonts w:ascii="Cambria" w:hAnsi="Cambria" w:cs="Cambria"/>
        </w:rPr>
        <w:t> </w:t>
      </w:r>
      <w:r w:rsidR="006A2C22" w:rsidRPr="00641C7B">
        <w:t>protocole</w:t>
      </w:r>
      <w:r w:rsidRPr="00641C7B">
        <w:rPr>
          <w:rFonts w:ascii="Cambria" w:hAnsi="Cambria" w:cs="Cambria"/>
        </w:rPr>
        <w:t> </w:t>
      </w:r>
      <w:r w:rsidRPr="00641C7B">
        <w:rPr>
          <w:rFonts w:cs="Montserrat"/>
        </w:rPr>
        <w:t>»</w:t>
      </w:r>
      <w:r w:rsidR="006A2C22" w:rsidRPr="00641C7B">
        <w:t xml:space="preserve"> dans le logiciel</w:t>
      </w:r>
      <w:r w:rsidR="00671943" w:rsidRPr="00641C7B">
        <w:t xml:space="preserve"> (permettant </w:t>
      </w:r>
      <w:r w:rsidRPr="00641C7B">
        <w:t>par exemple système</w:t>
      </w:r>
      <w:r w:rsidR="00671943" w:rsidRPr="00641C7B">
        <w:t xml:space="preserve"> d’alerte en cas de dépassement des fenêtres autorisées sur le planning)</w:t>
      </w:r>
    </w:p>
    <w:p w14:paraId="08F0E792" w14:textId="5199C622" w:rsidR="006A2C22" w:rsidRPr="00641C7B" w:rsidRDefault="006A2C22" w:rsidP="00641C7B">
      <w:pPr>
        <w:pStyle w:val="Paragraphedeliste"/>
        <w:numPr>
          <w:ilvl w:val="0"/>
          <w:numId w:val="13"/>
        </w:numPr>
      </w:pPr>
      <w:r w:rsidRPr="00641C7B">
        <w:t xml:space="preserve">Création </w:t>
      </w:r>
      <w:r w:rsidR="00D64B77" w:rsidRPr="00641C7B">
        <w:t>du médicament expérimental (quand passage en ouvert, étiquetage change et n’est plus «</w:t>
      </w:r>
      <w:r w:rsidR="00D64B77" w:rsidRPr="00641C7B">
        <w:rPr>
          <w:rFonts w:ascii="Cambria" w:hAnsi="Cambria" w:cs="Cambria"/>
        </w:rPr>
        <w:t> </w:t>
      </w:r>
      <w:r w:rsidR="00D64B77" w:rsidRPr="00641C7B">
        <w:t>/placebo</w:t>
      </w:r>
      <w:r w:rsidR="00D64B77" w:rsidRPr="00641C7B">
        <w:rPr>
          <w:rFonts w:ascii="Cambria" w:hAnsi="Cambria" w:cs="Cambria"/>
        </w:rPr>
        <w:t> </w:t>
      </w:r>
      <w:r w:rsidR="00D64B77" w:rsidRPr="00641C7B">
        <w:rPr>
          <w:rFonts w:cs="Montserrat"/>
        </w:rPr>
        <w:t>»</w:t>
      </w:r>
      <w:r w:rsidR="00D64B77" w:rsidRPr="00641C7B">
        <w:t xml:space="preserve">. </w:t>
      </w:r>
      <w:r w:rsidR="00E3125A" w:rsidRPr="00641C7B">
        <w:t xml:space="preserve">+ création du diluant nécessaire à la préparation </w:t>
      </w:r>
    </w:p>
    <w:p w14:paraId="6B30C60C" w14:textId="6AFCDA72" w:rsidR="00754CD0" w:rsidRPr="00641C7B" w:rsidRDefault="00754CD0" w:rsidP="00641C7B">
      <w:pPr>
        <w:pStyle w:val="Paragraphedeliste"/>
        <w:numPr>
          <w:ilvl w:val="0"/>
          <w:numId w:val="13"/>
        </w:numPr>
      </w:pPr>
      <w:r w:rsidRPr="00641C7B">
        <w:t>Traçabilité</w:t>
      </w:r>
      <w:r w:rsidRPr="00641C7B">
        <w:rPr>
          <w:rFonts w:ascii="Cambria" w:hAnsi="Cambria" w:cs="Cambria"/>
        </w:rPr>
        <w:t> </w:t>
      </w:r>
      <w:r w:rsidRPr="00641C7B">
        <w:t xml:space="preserve">: chaque </w:t>
      </w:r>
      <w:r w:rsidRPr="00641C7B">
        <w:rPr>
          <w:rFonts w:cs="Montserrat"/>
        </w:rPr>
        <w:t>é</w:t>
      </w:r>
      <w:r w:rsidRPr="00641C7B">
        <w:t>tape est trac</w:t>
      </w:r>
      <w:r w:rsidRPr="00641C7B">
        <w:rPr>
          <w:rFonts w:cs="Montserrat"/>
        </w:rPr>
        <w:t>é</w:t>
      </w:r>
      <w:r w:rsidRPr="00641C7B">
        <w:t xml:space="preserve">e </w:t>
      </w:r>
      <w:r w:rsidR="79B55EF3" w:rsidRPr="00641C7B">
        <w:t xml:space="preserve">et éditable </w:t>
      </w:r>
      <w:r w:rsidRPr="00641C7B">
        <w:t xml:space="preserve">(attention ordonnancier de préparation et ordonnancier de dispensation, suivi de stock numéroté pour médicament X, suivi de stock non numéroté pour diluant, médicament X + diluant associé formant un nouveau produit (une seringue de 20mL contenant </w:t>
      </w:r>
      <w:proofErr w:type="spellStart"/>
      <w:r w:rsidRPr="00641C7B">
        <w:t>xxxxxx</w:t>
      </w:r>
      <w:proofErr w:type="spellEnd"/>
      <w:r w:rsidRPr="00641C7B">
        <w:t xml:space="preserve"> mg de médicament X, stable </w:t>
      </w:r>
      <w:proofErr w:type="spellStart"/>
      <w:r w:rsidRPr="00641C7B">
        <w:t>xxxx</w:t>
      </w:r>
      <w:proofErr w:type="spellEnd"/>
      <w:r w:rsidRPr="00641C7B">
        <w:t xml:space="preserve"> temps</w:t>
      </w:r>
      <w:r w:rsidR="006A36EA" w:rsidRPr="00641C7B">
        <w:t xml:space="preserve">, </w:t>
      </w:r>
      <w:proofErr w:type="spellStart"/>
      <w:r w:rsidR="006A36EA" w:rsidRPr="00641C7B">
        <w:t>etc</w:t>
      </w:r>
      <w:proofErr w:type="spellEnd"/>
      <w:r w:rsidR="006A36EA" w:rsidRPr="00641C7B">
        <w:t>)</w:t>
      </w:r>
    </w:p>
    <w:p w14:paraId="6A197996" w14:textId="676DA26D" w:rsidR="003F4D8A" w:rsidRPr="00641C7B" w:rsidRDefault="003F4D8A" w:rsidP="00641C7B">
      <w:pPr>
        <w:pStyle w:val="Paragraphedeliste"/>
        <w:numPr>
          <w:ilvl w:val="0"/>
          <w:numId w:val="13"/>
        </w:numPr>
      </w:pPr>
      <w:r w:rsidRPr="00641C7B">
        <w:t xml:space="preserve">Génération (ou aide) </w:t>
      </w:r>
      <w:r w:rsidR="006A36EA" w:rsidRPr="00641C7B">
        <w:t>d’ordonnance, fiche de préparation, étiquette.</w:t>
      </w:r>
    </w:p>
    <w:p w14:paraId="6702A7A6" w14:textId="77777777" w:rsidR="003606A7" w:rsidRPr="00641C7B" w:rsidRDefault="006A36EA" w:rsidP="00641C7B">
      <w:pPr>
        <w:pStyle w:val="Paragraphedeliste"/>
        <w:numPr>
          <w:ilvl w:val="0"/>
          <w:numId w:val="13"/>
        </w:numPr>
      </w:pPr>
      <w:r w:rsidRPr="00641C7B">
        <w:t>Communication</w:t>
      </w:r>
      <w:r w:rsidRPr="00641C7B">
        <w:rPr>
          <w:rFonts w:ascii="Cambria" w:hAnsi="Cambria" w:cs="Cambria"/>
        </w:rPr>
        <w:t> </w:t>
      </w:r>
      <w:r w:rsidRPr="00641C7B">
        <w:t>: alerte automatiques g</w:t>
      </w:r>
      <w:r w:rsidRPr="00641C7B">
        <w:rPr>
          <w:rFonts w:cs="Montserrat"/>
        </w:rPr>
        <w:t>é</w:t>
      </w:r>
      <w:r w:rsidRPr="00641C7B">
        <w:t>n</w:t>
      </w:r>
      <w:r w:rsidRPr="00641C7B">
        <w:rPr>
          <w:rFonts w:cs="Montserrat"/>
        </w:rPr>
        <w:t>é</w:t>
      </w:r>
      <w:r w:rsidRPr="00641C7B">
        <w:t>r</w:t>
      </w:r>
      <w:r w:rsidRPr="00641C7B">
        <w:rPr>
          <w:rFonts w:cs="Montserrat"/>
        </w:rPr>
        <w:t>é</w:t>
      </w:r>
      <w:r w:rsidRPr="00641C7B">
        <w:t>es lors de n</w:t>
      </w:r>
      <w:r w:rsidRPr="00641C7B">
        <w:rPr>
          <w:rFonts w:cs="Montserrat"/>
        </w:rPr>
        <w:t>é</w:t>
      </w:r>
      <w:r w:rsidRPr="00641C7B">
        <w:t>cessit</w:t>
      </w:r>
      <w:r w:rsidRPr="00641C7B">
        <w:rPr>
          <w:rFonts w:cs="Montserrat"/>
        </w:rPr>
        <w:t>é</w:t>
      </w:r>
      <w:r w:rsidRPr="00641C7B">
        <w:t xml:space="preserve"> de mise en quarantaine, de stock faible vis-</w:t>
      </w:r>
      <w:r w:rsidRPr="00641C7B">
        <w:rPr>
          <w:rFonts w:cs="Montserrat"/>
        </w:rPr>
        <w:t>à</w:t>
      </w:r>
      <w:r w:rsidRPr="00641C7B">
        <w:t xml:space="preserve">-vis </w:t>
      </w:r>
      <w:r w:rsidR="009436B1" w:rsidRPr="00641C7B">
        <w:t>des visites programmée (pour le diluant + car non numéroté, non attribué et réapprovisionnement demandé par la pharmacie)</w:t>
      </w:r>
    </w:p>
    <w:p w14:paraId="7A2F557B" w14:textId="77777777" w:rsidR="003606A7" w:rsidRDefault="003606A7" w:rsidP="00641C7B">
      <w:pPr>
        <w:pStyle w:val="Paragraphedeliste"/>
        <w:numPr>
          <w:ilvl w:val="0"/>
          <w:numId w:val="13"/>
        </w:numPr>
      </w:pPr>
      <w:r w:rsidRPr="00641C7B">
        <w:lastRenderedPageBreak/>
        <w:t>Gestion des amendements</w:t>
      </w:r>
      <w:r w:rsidRPr="00641C7B">
        <w:rPr>
          <w:rFonts w:ascii="Cambria" w:hAnsi="Cambria" w:cs="Cambria"/>
        </w:rPr>
        <w:t> </w:t>
      </w:r>
      <w:r w:rsidRPr="00641C7B">
        <w:t xml:space="preserve">: mise </w:t>
      </w:r>
      <w:r w:rsidRPr="00641C7B">
        <w:rPr>
          <w:rFonts w:cs="Montserrat"/>
        </w:rPr>
        <w:t>à</w:t>
      </w:r>
      <w:r w:rsidRPr="00641C7B">
        <w:t xml:space="preserve"> jour dynamique des protocoles et notification (validation pharmaceutique</w:t>
      </w:r>
      <w:r>
        <w:t xml:space="preserve"> obligatoire)</w:t>
      </w:r>
    </w:p>
    <w:p w14:paraId="2928E7DA" w14:textId="7C509A49" w:rsidR="006A36EA" w:rsidRDefault="002136A6" w:rsidP="00D85CEB">
      <w:pPr>
        <w:pStyle w:val="Paragraphedeliste"/>
        <w:numPr>
          <w:ilvl w:val="0"/>
          <w:numId w:val="6"/>
        </w:numPr>
      </w:pPr>
      <w:r>
        <w:t xml:space="preserve">Conformité : audits et inspections fréquentes + traçabilité de non-conformité + génération d’indicateurs personnalisable </w:t>
      </w:r>
    </w:p>
    <w:p w14:paraId="6CD45074" w14:textId="7C60EF79" w:rsidR="00E3125A" w:rsidRDefault="00E3125A" w:rsidP="00937AC0">
      <w:pPr>
        <w:pStyle w:val="Paragraphedeliste"/>
      </w:pPr>
    </w:p>
    <w:p w14:paraId="069FD498" w14:textId="1C86DDFE" w:rsidR="002136A6" w:rsidRDefault="00723CD8" w:rsidP="002136A6">
      <w:pPr>
        <w:pStyle w:val="Titre1"/>
      </w:pPr>
      <w:bookmarkStart w:id="1" w:name="_Toc188265368"/>
      <w:r>
        <w:t xml:space="preserve">Scénario n°2 : </w:t>
      </w:r>
      <w:r w:rsidR="002136A6">
        <w:t>Essai décentralisé</w:t>
      </w:r>
      <w:bookmarkEnd w:id="1"/>
      <w:r w:rsidR="002136A6">
        <w:t xml:space="preserve"> </w:t>
      </w:r>
    </w:p>
    <w:p w14:paraId="6591ECB0" w14:textId="77777777" w:rsidR="00723CD8" w:rsidRPr="00B87485" w:rsidRDefault="00723CD8" w:rsidP="00641C7B">
      <w:pPr>
        <w:pStyle w:val="Titre2"/>
      </w:pPr>
      <w:r w:rsidRPr="00B87485">
        <w:t>Contexte général</w:t>
      </w:r>
      <w:r w:rsidRPr="00B87485">
        <w:rPr>
          <w:rFonts w:ascii="Cambria" w:hAnsi="Cambria" w:cs="Cambria"/>
        </w:rPr>
        <w:t> </w:t>
      </w:r>
      <w:r w:rsidRPr="00B87485">
        <w:t xml:space="preserve">: </w:t>
      </w:r>
    </w:p>
    <w:p w14:paraId="7696095F" w14:textId="5530F516" w:rsidR="009A71CB" w:rsidRDefault="00723CD8" w:rsidP="00723CD8">
      <w:pPr>
        <w:jc w:val="both"/>
      </w:pPr>
      <w:r>
        <w:t>L’hôpital participe à un essai de phase III décentralisé sur plusieurs sites de l’AP-HP. L’essai comporte 2 bras</w:t>
      </w:r>
      <w:r w:rsidR="001501E9">
        <w:t xml:space="preserve"> comparant le médicament Y </w:t>
      </w:r>
      <w:r w:rsidR="009A71CB">
        <w:t>vs</w:t>
      </w:r>
      <w:r w:rsidR="001501E9">
        <w:t xml:space="preserve"> </w:t>
      </w:r>
      <w:r w:rsidR="009A71CB">
        <w:t xml:space="preserve">Placebo, 1 comprimé par jour de 20mg/placebo pendant 52 semaines dans l’hypertension artérielle pulmonaire. </w:t>
      </w:r>
      <w:r w:rsidR="00AA0174">
        <w:t>(1 dispensation/mois d’1 flacon numéroté de 35 comprimés)</w:t>
      </w:r>
    </w:p>
    <w:p w14:paraId="5AEF8035" w14:textId="7E1AEE46" w:rsidR="00EF2185" w:rsidRPr="00B87485" w:rsidRDefault="00EF2185" w:rsidP="00641C7B">
      <w:pPr>
        <w:pStyle w:val="Titre2"/>
      </w:pPr>
      <w:r w:rsidRPr="00B87485">
        <w:t>Etapes du scénario</w:t>
      </w:r>
      <w:r w:rsidRPr="00B87485">
        <w:rPr>
          <w:rFonts w:ascii="Cambria" w:hAnsi="Cambria" w:cs="Cambria"/>
        </w:rPr>
        <w:t> </w:t>
      </w:r>
      <w:r w:rsidRPr="00B87485">
        <w:t xml:space="preserve">: </w:t>
      </w:r>
    </w:p>
    <w:p w14:paraId="36595E53" w14:textId="6256CA0F" w:rsidR="009A71CB" w:rsidRDefault="00EF2185" w:rsidP="00EF2185">
      <w:pPr>
        <w:pStyle w:val="Paragraphedeliste"/>
        <w:numPr>
          <w:ilvl w:val="0"/>
          <w:numId w:val="10"/>
        </w:numPr>
        <w:jc w:val="both"/>
      </w:pPr>
      <w:r>
        <w:t xml:space="preserve">Initialisation de l’essai clinique </w:t>
      </w:r>
    </w:p>
    <w:p w14:paraId="0B0E59A7" w14:textId="77777777" w:rsidR="00641C7B" w:rsidRDefault="00EF2185" w:rsidP="00641C7B">
      <w:pPr>
        <w:pStyle w:val="Paragraphedeliste"/>
        <w:numPr>
          <w:ilvl w:val="0"/>
          <w:numId w:val="10"/>
        </w:numPr>
        <w:jc w:val="both"/>
      </w:pPr>
      <w:r>
        <w:t xml:space="preserve">Premiers patients </w:t>
      </w:r>
    </w:p>
    <w:p w14:paraId="03C7FB95" w14:textId="77777777" w:rsidR="00641C7B" w:rsidRDefault="00B2698E" w:rsidP="00641C7B">
      <w:pPr>
        <w:pStyle w:val="Paragraphedeliste"/>
        <w:numPr>
          <w:ilvl w:val="1"/>
          <w:numId w:val="10"/>
        </w:numPr>
        <w:jc w:val="both"/>
      </w:pPr>
      <w:r>
        <w:t>La dispensation peut être réalisée sur le même site que la PUI centrale</w:t>
      </w:r>
    </w:p>
    <w:p w14:paraId="65CEA643" w14:textId="77777777" w:rsidR="00641C7B" w:rsidRDefault="00B2698E" w:rsidP="00641C7B">
      <w:pPr>
        <w:pStyle w:val="Paragraphedeliste"/>
        <w:numPr>
          <w:ilvl w:val="1"/>
          <w:numId w:val="10"/>
        </w:numPr>
        <w:jc w:val="both"/>
      </w:pPr>
      <w:r>
        <w:t>La dispensation est transférée de la PUI centrale à la PUI du centre satellite de l’APHP</w:t>
      </w:r>
    </w:p>
    <w:p w14:paraId="2F233118" w14:textId="31A0183D" w:rsidR="00B2698E" w:rsidRDefault="00B2698E" w:rsidP="00641C7B">
      <w:pPr>
        <w:pStyle w:val="Paragraphedeliste"/>
        <w:numPr>
          <w:ilvl w:val="1"/>
          <w:numId w:val="10"/>
        </w:numPr>
        <w:jc w:val="both"/>
      </w:pPr>
      <w:r>
        <w:t xml:space="preserve">La dispensation peut être livrée directement au patient par la PUI centrale </w:t>
      </w:r>
    </w:p>
    <w:p w14:paraId="38F00551" w14:textId="1A269EC2" w:rsidR="005C4062" w:rsidRDefault="006B2CC4" w:rsidP="005C4062">
      <w:pPr>
        <w:pStyle w:val="Paragraphedeliste"/>
        <w:numPr>
          <w:ilvl w:val="0"/>
          <w:numId w:val="10"/>
        </w:numPr>
        <w:jc w:val="both"/>
      </w:pPr>
      <w:r>
        <w:t>Premiers monitorings</w:t>
      </w:r>
    </w:p>
    <w:p w14:paraId="5D2394E1" w14:textId="72F5D62B" w:rsidR="002136A6" w:rsidRDefault="00643D80" w:rsidP="00641C7B">
      <w:pPr>
        <w:pStyle w:val="Titre2"/>
      </w:pPr>
      <w:r w:rsidRPr="001E1DCE">
        <w:t>E</w:t>
      </w:r>
      <w:r>
        <w:t>xemples d’e</w:t>
      </w:r>
      <w:r w:rsidRPr="001E1DCE">
        <w:t>xigences fonctionnelles attendues</w:t>
      </w:r>
      <w:r w:rsidRPr="001E1DCE">
        <w:rPr>
          <w:rFonts w:ascii="Cambria" w:hAnsi="Cambria" w:cs="Cambria"/>
        </w:rPr>
        <w:t> </w:t>
      </w:r>
      <w:r w:rsidRPr="001E1DCE">
        <w:t xml:space="preserve">: </w:t>
      </w:r>
    </w:p>
    <w:p w14:paraId="3C22F025" w14:textId="4C462BEC" w:rsidR="00643D80" w:rsidRDefault="00643D80" w:rsidP="00643D80">
      <w:pPr>
        <w:pStyle w:val="Paragraphedeliste"/>
        <w:numPr>
          <w:ilvl w:val="0"/>
          <w:numId w:val="6"/>
        </w:numPr>
      </w:pPr>
      <w:r w:rsidRPr="00643D80">
        <w:t>Exigences de bases similaires au scénario 1</w:t>
      </w:r>
    </w:p>
    <w:p w14:paraId="6840473D" w14:textId="4F6B71B9" w:rsidR="00643D80" w:rsidRDefault="00643D80" w:rsidP="00643D80">
      <w:pPr>
        <w:pStyle w:val="Paragraphedeliste"/>
        <w:numPr>
          <w:ilvl w:val="0"/>
          <w:numId w:val="6"/>
        </w:numPr>
      </w:pPr>
      <w:r>
        <w:t xml:space="preserve">Traçabilité : </w:t>
      </w:r>
      <w:r w:rsidR="0084263F">
        <w:t>adaptabilité, traçabilité d’un transfert, d’une entrée et sortie de stock dans 2 PUI différentes (mais pas toujours, dépend de chaque situation)</w:t>
      </w:r>
    </w:p>
    <w:p w14:paraId="000434D8" w14:textId="0A54DEDC" w:rsidR="00AA0174" w:rsidRDefault="00AA0174" w:rsidP="00643D80">
      <w:pPr>
        <w:pStyle w:val="Paragraphedeliste"/>
        <w:numPr>
          <w:ilvl w:val="0"/>
          <w:numId w:val="6"/>
        </w:numPr>
      </w:pPr>
      <w:r>
        <w:t>Traçabilité des retours patients</w:t>
      </w:r>
    </w:p>
    <w:p w14:paraId="495BCB8C" w14:textId="6DDDEB54" w:rsidR="002136A6" w:rsidRDefault="00AA0174" w:rsidP="002136A6">
      <w:pPr>
        <w:pStyle w:val="Paragraphedeliste"/>
        <w:numPr>
          <w:ilvl w:val="0"/>
          <w:numId w:val="6"/>
        </w:numPr>
      </w:pPr>
      <w:r>
        <w:t>Planification avancée des transferts</w:t>
      </w:r>
    </w:p>
    <w:p w14:paraId="1496E293" w14:textId="0DC68B5A" w:rsidR="006B2CC4" w:rsidRDefault="006B2CC4" w:rsidP="006B2CC4">
      <w:pPr>
        <w:pStyle w:val="Paragraphedeliste"/>
        <w:numPr>
          <w:ilvl w:val="0"/>
          <w:numId w:val="6"/>
        </w:numPr>
      </w:pPr>
      <w:r>
        <w:t xml:space="preserve">Monitoring : prévoir un accès spécifique pour les promoteurs, </w:t>
      </w:r>
      <w:proofErr w:type="spellStart"/>
      <w:r>
        <w:t>remote</w:t>
      </w:r>
      <w:proofErr w:type="spellEnd"/>
      <w:r>
        <w:t xml:space="preserve"> monitoring possible</w:t>
      </w:r>
      <w:r w:rsidR="04BDBA8E">
        <w:t>, validation, édition</w:t>
      </w:r>
      <w:r>
        <w:t xml:space="preserve"> ? </w:t>
      </w:r>
    </w:p>
    <w:p w14:paraId="5B286102" w14:textId="37C0E3D7" w:rsidR="002136A6" w:rsidRDefault="00723CD8" w:rsidP="00AA0174">
      <w:pPr>
        <w:pStyle w:val="Titre1"/>
      </w:pPr>
      <w:bookmarkStart w:id="2" w:name="_Toc188265369"/>
      <w:r>
        <w:t xml:space="preserve">Scénario n°3 : </w:t>
      </w:r>
      <w:r w:rsidR="002136A6">
        <w:t>Essai avec mise à disposition (= mise en dotation)</w:t>
      </w:r>
      <w:bookmarkEnd w:id="2"/>
    </w:p>
    <w:p w14:paraId="527DE390" w14:textId="77777777" w:rsidR="00AA0174" w:rsidRPr="00B87485" w:rsidRDefault="00AA0174" w:rsidP="00641C7B">
      <w:pPr>
        <w:pStyle w:val="Titre2"/>
      </w:pPr>
      <w:r w:rsidRPr="00B87485">
        <w:t>Contexte général</w:t>
      </w:r>
      <w:r w:rsidRPr="00B87485">
        <w:rPr>
          <w:rFonts w:ascii="Cambria" w:hAnsi="Cambria" w:cs="Cambria"/>
        </w:rPr>
        <w:t> </w:t>
      </w:r>
      <w:r w:rsidRPr="00B87485">
        <w:t xml:space="preserve">: </w:t>
      </w:r>
    </w:p>
    <w:p w14:paraId="1CF72F61" w14:textId="400F2E95" w:rsidR="00736E56" w:rsidRDefault="00AA0174" w:rsidP="00AA0174">
      <w:pPr>
        <w:jc w:val="both"/>
      </w:pPr>
      <w:r>
        <w:t>L’hôpital participe à un essai de phase III en réanimation nécessitant inclusion en urgence et 24h/24. Les traitements expérimentaux sont mis à disposition dans le service clinique investigateur.</w:t>
      </w:r>
    </w:p>
    <w:p w14:paraId="7FD971AC" w14:textId="50E97DCE" w:rsidR="00736E56" w:rsidRDefault="00736E56" w:rsidP="00AA0174">
      <w:pPr>
        <w:jc w:val="both"/>
      </w:pPr>
      <w:r>
        <w:t xml:space="preserve">Médicament W = kits numérotés en double aveugle avec préparation. </w:t>
      </w:r>
    </w:p>
    <w:p w14:paraId="03A1495E" w14:textId="0DB41F2D" w:rsidR="00641C7B" w:rsidRPr="00641C7B" w:rsidRDefault="00641C7B" w:rsidP="00641C7B">
      <w:pPr>
        <w:pStyle w:val="Titre2"/>
      </w:pPr>
      <w:r>
        <w:t>Etapes du scénario</w:t>
      </w:r>
      <w:r>
        <w:rPr>
          <w:rFonts w:ascii="Cambria" w:hAnsi="Cambria" w:cs="Cambria"/>
        </w:rPr>
        <w:t> </w:t>
      </w:r>
      <w:r>
        <w:t xml:space="preserve">: </w:t>
      </w:r>
    </w:p>
    <w:p w14:paraId="2153EE46" w14:textId="56C75C56" w:rsidR="00736E56" w:rsidRDefault="00736E56" w:rsidP="00641C7B">
      <w:pPr>
        <w:pStyle w:val="Paragraphedeliste"/>
        <w:numPr>
          <w:ilvl w:val="0"/>
          <w:numId w:val="14"/>
        </w:numPr>
        <w:jc w:val="both"/>
      </w:pPr>
      <w:r>
        <w:t>Initialisation de l’essai cliniques</w:t>
      </w:r>
    </w:p>
    <w:p w14:paraId="3662E535" w14:textId="1F3DBC74" w:rsidR="00736E56" w:rsidRDefault="00736E56" w:rsidP="00641C7B">
      <w:pPr>
        <w:pStyle w:val="Paragraphedeliste"/>
        <w:numPr>
          <w:ilvl w:val="0"/>
          <w:numId w:val="14"/>
        </w:numPr>
        <w:jc w:val="both"/>
      </w:pPr>
      <w:r>
        <w:t>1</w:t>
      </w:r>
      <w:r w:rsidRPr="00736E56">
        <w:rPr>
          <w:vertAlign w:val="superscript"/>
        </w:rPr>
        <w:t>ère</w:t>
      </w:r>
      <w:r>
        <w:t xml:space="preserve"> mise en dotation</w:t>
      </w:r>
    </w:p>
    <w:p w14:paraId="4E771969" w14:textId="4DD5EDA0" w:rsidR="00736E56" w:rsidRDefault="00D21313" w:rsidP="00641C7B">
      <w:pPr>
        <w:pStyle w:val="Paragraphedeliste"/>
        <w:numPr>
          <w:ilvl w:val="0"/>
          <w:numId w:val="14"/>
        </w:numPr>
        <w:jc w:val="both"/>
      </w:pPr>
      <w:r>
        <w:t>1</w:t>
      </w:r>
      <w:r w:rsidRPr="00736E56">
        <w:rPr>
          <w:vertAlign w:val="superscript"/>
        </w:rPr>
        <w:t>er</w:t>
      </w:r>
      <w:r>
        <w:rPr>
          <w:vertAlign w:val="superscript"/>
        </w:rPr>
        <w:t>s</w:t>
      </w:r>
      <w:r>
        <w:t xml:space="preserve"> patients</w:t>
      </w:r>
      <w:r w:rsidR="00736E56">
        <w:t xml:space="preserve"> </w:t>
      </w:r>
    </w:p>
    <w:p w14:paraId="251804A8" w14:textId="77777777" w:rsidR="00736E56" w:rsidRPr="00736E56" w:rsidRDefault="00736E56" w:rsidP="00641C7B">
      <w:pPr>
        <w:pStyle w:val="Titre2"/>
      </w:pPr>
      <w:r w:rsidRPr="00736E56">
        <w:lastRenderedPageBreak/>
        <w:t>Exemples d’exigences fonctionnelles attendues</w:t>
      </w:r>
      <w:r w:rsidRPr="00736E56">
        <w:rPr>
          <w:rFonts w:ascii="Cambria" w:hAnsi="Cambria" w:cs="Cambria"/>
        </w:rPr>
        <w:t> </w:t>
      </w:r>
      <w:r w:rsidRPr="00736E56">
        <w:t xml:space="preserve">: </w:t>
      </w:r>
    </w:p>
    <w:p w14:paraId="081FEE29" w14:textId="77777777" w:rsidR="00641C7B" w:rsidRDefault="009E34A1" w:rsidP="00641C7B">
      <w:pPr>
        <w:pStyle w:val="Paragraphedeliste"/>
        <w:numPr>
          <w:ilvl w:val="0"/>
          <w:numId w:val="15"/>
        </w:numPr>
        <w:jc w:val="both"/>
      </w:pPr>
      <w:r>
        <w:t>Accès spécifique réservé au TEC du service investigateur (attention à la levée d’insu) pour le suivi du stock des kits notamment</w:t>
      </w:r>
    </w:p>
    <w:p w14:paraId="3013F5A4" w14:textId="1E824F10" w:rsidR="002136A6" w:rsidRDefault="009E34A1" w:rsidP="00641C7B">
      <w:pPr>
        <w:pStyle w:val="Paragraphedeliste"/>
        <w:numPr>
          <w:ilvl w:val="0"/>
          <w:numId w:val="15"/>
        </w:numPr>
        <w:jc w:val="both"/>
      </w:pPr>
      <w:r>
        <w:t>Alerte de renouvellement de dotation, péremption etc…</w:t>
      </w:r>
    </w:p>
    <w:p w14:paraId="4CC04CEC" w14:textId="2653FB87" w:rsidR="002136A6" w:rsidRDefault="00723CD8" w:rsidP="006B2CC4">
      <w:pPr>
        <w:pStyle w:val="Titre1"/>
      </w:pPr>
      <w:bookmarkStart w:id="3" w:name="_Toc188265370"/>
      <w:r>
        <w:t xml:space="preserve">Scénario n°4 : </w:t>
      </w:r>
      <w:r w:rsidR="002136A6">
        <w:t>Investigation clinique (= études cliniques portant sur les dispositifs médicaux)</w:t>
      </w:r>
      <w:bookmarkEnd w:id="3"/>
    </w:p>
    <w:p w14:paraId="1C996805" w14:textId="6674F403" w:rsidR="00641C7B" w:rsidRPr="00641C7B" w:rsidRDefault="00641C7B" w:rsidP="00641C7B">
      <w:pPr>
        <w:pStyle w:val="Titre2"/>
      </w:pPr>
      <w:r>
        <w:t>Contexte général</w:t>
      </w:r>
      <w:r>
        <w:rPr>
          <w:rFonts w:ascii="Cambria" w:hAnsi="Cambria" w:cs="Cambria"/>
        </w:rPr>
        <w:t> </w:t>
      </w:r>
      <w:r>
        <w:t xml:space="preserve">: </w:t>
      </w:r>
    </w:p>
    <w:p w14:paraId="79706FCB" w14:textId="5D56DB90" w:rsidR="00364D73" w:rsidRDefault="009E34A1" w:rsidP="002136A6">
      <w:r>
        <w:t>L’hôpital participe à un essai clinique portant sur un dispositif médical implantable</w:t>
      </w:r>
      <w:r w:rsidR="00364D73">
        <w:t xml:space="preserve"> (DMI)</w:t>
      </w:r>
      <w:r>
        <w:t xml:space="preserve"> n’ayant pas encore le marquage CE. </w:t>
      </w:r>
      <w:r w:rsidR="00364D73">
        <w:t xml:space="preserve">Ce DMI est fourni par le promoteur et doit être mis en dépôt au bloc opératoire. </w:t>
      </w:r>
    </w:p>
    <w:p w14:paraId="5FB81FE5" w14:textId="0E509F94" w:rsidR="00641C7B" w:rsidRDefault="00641C7B" w:rsidP="00641C7B">
      <w:pPr>
        <w:pStyle w:val="Titre2"/>
      </w:pPr>
      <w:r>
        <w:t>Etapes du scénario</w:t>
      </w:r>
    </w:p>
    <w:p w14:paraId="62228352" w14:textId="62097595" w:rsidR="00364D73" w:rsidRDefault="00364D73" w:rsidP="00364D73">
      <w:pPr>
        <w:pStyle w:val="Paragraphedeliste"/>
        <w:numPr>
          <w:ilvl w:val="0"/>
          <w:numId w:val="11"/>
        </w:numPr>
      </w:pPr>
      <w:r>
        <w:t xml:space="preserve">Initialisation de l’essai clinique </w:t>
      </w:r>
    </w:p>
    <w:p w14:paraId="590EE50D" w14:textId="32899E1A" w:rsidR="00364D73" w:rsidRDefault="00364D73" w:rsidP="00364D73">
      <w:pPr>
        <w:pStyle w:val="Paragraphedeliste"/>
        <w:numPr>
          <w:ilvl w:val="0"/>
          <w:numId w:val="11"/>
        </w:numPr>
      </w:pPr>
      <w:r>
        <w:t>1 ère réception de DMI</w:t>
      </w:r>
    </w:p>
    <w:p w14:paraId="7499B688" w14:textId="1F183DE8" w:rsidR="00364D73" w:rsidRDefault="00364D73" w:rsidP="00364D73">
      <w:pPr>
        <w:pStyle w:val="Paragraphedeliste"/>
        <w:numPr>
          <w:ilvl w:val="0"/>
          <w:numId w:val="11"/>
        </w:numPr>
      </w:pPr>
      <w:r>
        <w:t>Mise en dépôt au bloc opératoire</w:t>
      </w:r>
    </w:p>
    <w:p w14:paraId="6E81F1B2" w14:textId="295B0861" w:rsidR="006B2CC4" w:rsidRPr="006B2CC4" w:rsidRDefault="00364D73" w:rsidP="006B2CC4">
      <w:pPr>
        <w:pStyle w:val="Paragraphedeliste"/>
        <w:numPr>
          <w:ilvl w:val="0"/>
          <w:numId w:val="11"/>
        </w:numPr>
      </w:pPr>
      <w:r>
        <w:t xml:space="preserve">Premiers patients </w:t>
      </w:r>
    </w:p>
    <w:p w14:paraId="79F978F4" w14:textId="2642DF6C" w:rsidR="00364D73" w:rsidRPr="006B2CC4" w:rsidRDefault="00364D73" w:rsidP="00641C7B">
      <w:pPr>
        <w:pStyle w:val="Titre2"/>
      </w:pPr>
      <w:r w:rsidRPr="006B2CC4">
        <w:t>Exemples d’exigences fonctionnelles attendues</w:t>
      </w:r>
      <w:r w:rsidRPr="006B2CC4">
        <w:rPr>
          <w:rFonts w:ascii="Cambria" w:hAnsi="Cambria" w:cs="Cambria"/>
        </w:rPr>
        <w:t> </w:t>
      </w:r>
      <w:r w:rsidRPr="006B2CC4">
        <w:t xml:space="preserve">: </w:t>
      </w:r>
    </w:p>
    <w:p w14:paraId="3F1DB1DA" w14:textId="77777777" w:rsidR="00641C7B" w:rsidRDefault="00364D73" w:rsidP="00641C7B">
      <w:pPr>
        <w:pStyle w:val="Paragraphedeliste"/>
        <w:numPr>
          <w:ilvl w:val="0"/>
          <w:numId w:val="16"/>
        </w:numPr>
      </w:pPr>
      <w:r>
        <w:t xml:space="preserve">Adaptation à la règlementation des investigations cliniques (pas les même numéros </w:t>
      </w:r>
      <w:r w:rsidR="00051589">
        <w:t>uniques (exemple IDRCB et non EU-CT)</w:t>
      </w:r>
    </w:p>
    <w:p w14:paraId="32A986AA" w14:textId="77777777" w:rsidR="00641C7B" w:rsidRDefault="00051589" w:rsidP="00641C7B">
      <w:pPr>
        <w:pStyle w:val="Paragraphedeliste"/>
        <w:numPr>
          <w:ilvl w:val="0"/>
          <w:numId w:val="16"/>
        </w:numPr>
      </w:pPr>
      <w:r>
        <w:t>Traçabilité</w:t>
      </w:r>
      <w:r w:rsidRPr="00641C7B">
        <w:rPr>
          <w:rFonts w:ascii="Cambria" w:hAnsi="Cambria" w:cs="Cambria"/>
        </w:rPr>
        <w:t> </w:t>
      </w:r>
      <w:r>
        <w:t xml:space="preserve">: </w:t>
      </w:r>
      <w:r w:rsidR="000D465E">
        <w:t>traçabilité nominative des DMI obligatoire même si dépôt au bloc</w:t>
      </w:r>
      <w:r w:rsidR="0073604E">
        <w:t>, prise en compte du numéro de série, du numéro UDI</w:t>
      </w:r>
      <w:r w:rsidR="00236A6F">
        <w:t xml:space="preserve"> </w:t>
      </w:r>
      <w:proofErr w:type="spellStart"/>
      <w:r w:rsidR="00236A6F">
        <w:t>etc</w:t>
      </w:r>
      <w:proofErr w:type="spellEnd"/>
      <w:r w:rsidR="00236A6F">
        <w:t xml:space="preserve"> </w:t>
      </w:r>
    </w:p>
    <w:p w14:paraId="2450B3F4" w14:textId="5B06E5C4" w:rsidR="00BF4C75" w:rsidRDefault="00BF4C75" w:rsidP="00641C7B">
      <w:pPr>
        <w:pStyle w:val="Paragraphedeliste"/>
        <w:numPr>
          <w:ilvl w:val="0"/>
          <w:numId w:val="16"/>
        </w:numPr>
      </w:pPr>
      <w:r>
        <w:t xml:space="preserve">Lors des études DM, il est fréquent que </w:t>
      </w:r>
      <w:r w:rsidR="00D21313">
        <w:t>des back-ups</w:t>
      </w:r>
      <w:r>
        <w:t xml:space="preserve"> soient systématiquement dispensés en cas de problème au bloc opératoire, </w:t>
      </w:r>
      <w:r w:rsidR="00D21313">
        <w:t>ces back-ups</w:t>
      </w:r>
      <w:r>
        <w:t xml:space="preserve"> sont souvent remis en stock par la suite pour être </w:t>
      </w:r>
      <w:r w:rsidR="00CA7E58">
        <w:t>prêt pour une utilisation pour un autre patient</w:t>
      </w:r>
      <w:r w:rsidR="006B2CC4">
        <w:t xml:space="preserve"> </w:t>
      </w:r>
      <w:r w:rsidR="00CA7E58" w:rsidRPr="00641C7B">
        <w:rPr>
          <w:rFonts w:ascii="Wingdings" w:eastAsia="Wingdings" w:hAnsi="Wingdings" w:cs="Wingdings"/>
        </w:rPr>
        <w:t>à</w:t>
      </w:r>
      <w:r w:rsidR="00CA7E58">
        <w:t xml:space="preserve"> Prévoir des actes lors des monitoring </w:t>
      </w:r>
      <w:r w:rsidR="006B2CC4">
        <w:t>permettant une validation de remise en stock par exemple.</w:t>
      </w:r>
    </w:p>
    <w:p w14:paraId="76A25AF5" w14:textId="21B38647" w:rsidR="0073604E" w:rsidRDefault="00B81812" w:rsidP="003B48DE">
      <w:pPr>
        <w:pStyle w:val="Titre1"/>
      </w:pPr>
      <w:bookmarkStart w:id="4" w:name="_Toc188265371"/>
      <w:r>
        <w:t>Scénario n°5 : Essai clinique de type « </w:t>
      </w:r>
      <w:proofErr w:type="spellStart"/>
      <w:r>
        <w:t>umbrella</w:t>
      </w:r>
      <w:proofErr w:type="spellEnd"/>
      <w:r>
        <w:t xml:space="preserve"> » </w:t>
      </w:r>
      <w:r w:rsidR="003B48DE">
        <w:t>portant sur une thérapie génique</w:t>
      </w:r>
      <w:bookmarkEnd w:id="4"/>
    </w:p>
    <w:p w14:paraId="35769D1C" w14:textId="77777777" w:rsidR="00FE3D0E" w:rsidRPr="00B87485" w:rsidRDefault="00FE3D0E" w:rsidP="00641C7B">
      <w:pPr>
        <w:pStyle w:val="Titre2"/>
      </w:pPr>
      <w:r w:rsidRPr="00B87485">
        <w:t>Contexte général</w:t>
      </w:r>
      <w:r w:rsidRPr="00B87485">
        <w:rPr>
          <w:rFonts w:ascii="Cambria" w:hAnsi="Cambria" w:cs="Cambria"/>
        </w:rPr>
        <w:t> </w:t>
      </w:r>
      <w:r w:rsidRPr="00B87485">
        <w:t xml:space="preserve">: </w:t>
      </w:r>
    </w:p>
    <w:p w14:paraId="227613AA" w14:textId="35D8F5A2" w:rsidR="00FE3D0E" w:rsidRDefault="00FE3D0E" w:rsidP="00FE3D0E">
      <w:pPr>
        <w:jc w:val="both"/>
      </w:pPr>
      <w:r>
        <w:t>L’hôpital participe à un essai de phase III de type « </w:t>
      </w:r>
      <w:proofErr w:type="spellStart"/>
      <w:r>
        <w:t>umbrella</w:t>
      </w:r>
      <w:proofErr w:type="spellEnd"/>
      <w:r>
        <w:t xml:space="preserve"> », en double insu. Les essais de types parapluie sont des essais </w:t>
      </w:r>
      <w:r w:rsidR="001B1FEA">
        <w:t xml:space="preserve">évaluant plusieurs médicaments visant des </w:t>
      </w:r>
      <w:r w:rsidR="3BFC59BC">
        <w:t>c</w:t>
      </w:r>
      <w:r w:rsidR="001B1FEA">
        <w:t>ibles différent</w:t>
      </w:r>
      <w:r w:rsidR="07C1E3C9">
        <w:t>e</w:t>
      </w:r>
      <w:r w:rsidR="001B1FEA">
        <w:t xml:space="preserve">s dans un seul type de pathologie, souvent </w:t>
      </w:r>
      <w:r w:rsidR="77357A45">
        <w:t xml:space="preserve">des </w:t>
      </w:r>
      <w:r w:rsidR="001B1FEA">
        <w:t xml:space="preserve">cancers. </w:t>
      </w:r>
      <w:r w:rsidR="004E64E6">
        <w:t xml:space="preserve">Les patients reçoivent le traitement en fonction de l’anomalie moléculaire de leur tumeur. Au niveau pratique cela entraine de multiples circuits car médicaments différents dans une même étude et de multiples bras de traitement. </w:t>
      </w:r>
    </w:p>
    <w:p w14:paraId="7AB79761" w14:textId="6EB07BA5" w:rsidR="00E65EC8" w:rsidRDefault="002C099F" w:rsidP="00FE3D0E">
      <w:pPr>
        <w:jc w:val="both"/>
      </w:pPr>
      <w:r>
        <w:t>Le médicament est un OGM de classe I, un AAV (</w:t>
      </w:r>
      <w:proofErr w:type="spellStart"/>
      <w:r>
        <w:t>Adeno-virus</w:t>
      </w:r>
      <w:proofErr w:type="spellEnd"/>
      <w:r>
        <w:t xml:space="preserve"> associé) </w:t>
      </w:r>
      <w:r w:rsidR="00E65EC8">
        <w:t xml:space="preserve">congelé à -80°C. Il doit être décongelé puis dilué et mis en seringue avec une dose spécifique </w:t>
      </w:r>
      <w:r w:rsidR="40D0DAF9">
        <w:t>s</w:t>
      </w:r>
      <w:r w:rsidR="00E65EC8">
        <w:t>e calculant en génome de vecteur (10</w:t>
      </w:r>
      <w:r w:rsidR="00E65EC8" w:rsidRPr="7B68AF00">
        <w:rPr>
          <w:vertAlign w:val="superscript"/>
        </w:rPr>
        <w:t>x</w:t>
      </w:r>
      <w:r w:rsidR="00E65EC8">
        <w:t xml:space="preserve">). </w:t>
      </w:r>
      <w:r w:rsidR="000636D3">
        <w:t xml:space="preserve">Le volume injecté est toujours le même et l’étape finale se fait à l’aide d’un transfert seringue-seringue. </w:t>
      </w:r>
      <w:r w:rsidR="00E65EC8">
        <w:t xml:space="preserve">La préparation est stable </w:t>
      </w:r>
      <w:r w:rsidR="00005FFF">
        <w:t xml:space="preserve">seulement </w:t>
      </w:r>
      <w:r w:rsidR="00E65EC8">
        <w:t xml:space="preserve">2 heures et </w:t>
      </w:r>
      <w:r w:rsidR="00E65EC8">
        <w:lastRenderedPageBreak/>
        <w:t>nécessite une coordination étroite avec le service investigateur</w:t>
      </w:r>
      <w:r w:rsidR="00005FFF">
        <w:t xml:space="preserve"> ainsi qu’un traitement des déchets particuliers. </w:t>
      </w:r>
    </w:p>
    <w:p w14:paraId="3AE19C63" w14:textId="77777777" w:rsidR="00297690" w:rsidRPr="00E65EC8" w:rsidRDefault="00297690" w:rsidP="00FE3D0E">
      <w:pPr>
        <w:jc w:val="both"/>
      </w:pPr>
    </w:p>
    <w:p w14:paraId="26DD2817" w14:textId="64EB36A0" w:rsidR="00FE3D0E" w:rsidRPr="00B87485" w:rsidRDefault="004E64E6" w:rsidP="00641C7B">
      <w:pPr>
        <w:pStyle w:val="Titre2"/>
      </w:pPr>
      <w:r w:rsidRPr="00B87485">
        <w:t>Étapes</w:t>
      </w:r>
      <w:r w:rsidR="00FE3D0E" w:rsidRPr="00B87485">
        <w:t xml:space="preserve"> du scénario</w:t>
      </w:r>
      <w:r w:rsidR="00FE3D0E" w:rsidRPr="00B87485">
        <w:rPr>
          <w:rFonts w:ascii="Cambria" w:hAnsi="Cambria" w:cs="Cambria"/>
        </w:rPr>
        <w:t> </w:t>
      </w:r>
      <w:r w:rsidR="00FE3D0E" w:rsidRPr="00B87485">
        <w:t xml:space="preserve">: </w:t>
      </w:r>
    </w:p>
    <w:p w14:paraId="73506523" w14:textId="77777777" w:rsidR="004E64E6" w:rsidRDefault="00FE3D0E" w:rsidP="004E64E6">
      <w:pPr>
        <w:pStyle w:val="Paragraphedeliste"/>
        <w:numPr>
          <w:ilvl w:val="0"/>
          <w:numId w:val="12"/>
        </w:numPr>
        <w:jc w:val="both"/>
      </w:pPr>
      <w:r>
        <w:t xml:space="preserve">Initialisation de l’essai clinique </w:t>
      </w:r>
    </w:p>
    <w:p w14:paraId="3AC98654" w14:textId="77777777" w:rsidR="00641C7B" w:rsidRDefault="00FE3D0E" w:rsidP="00641C7B">
      <w:pPr>
        <w:pStyle w:val="Paragraphedeliste"/>
        <w:numPr>
          <w:ilvl w:val="0"/>
          <w:numId w:val="12"/>
        </w:numPr>
        <w:jc w:val="both"/>
      </w:pPr>
      <w:r>
        <w:t xml:space="preserve">Premiers patients </w:t>
      </w:r>
    </w:p>
    <w:p w14:paraId="5A8C5185" w14:textId="77777777" w:rsidR="00641C7B" w:rsidRDefault="00E85145" w:rsidP="00641C7B">
      <w:pPr>
        <w:pStyle w:val="Paragraphedeliste"/>
        <w:numPr>
          <w:ilvl w:val="1"/>
          <w:numId w:val="12"/>
        </w:numPr>
        <w:jc w:val="both"/>
      </w:pPr>
      <w:r>
        <w:t xml:space="preserve">6 patients dans 6 cohortes différentes donc </w:t>
      </w:r>
      <w:r w:rsidR="0022547A">
        <w:t xml:space="preserve">traités par </w:t>
      </w:r>
      <w:r>
        <w:t xml:space="preserve">6 médicaments différents </w:t>
      </w:r>
    </w:p>
    <w:p w14:paraId="0D87FBCB" w14:textId="637354E2" w:rsidR="00E85145" w:rsidRDefault="00E85145" w:rsidP="00641C7B">
      <w:pPr>
        <w:pStyle w:val="Paragraphedeliste"/>
        <w:numPr>
          <w:ilvl w:val="1"/>
          <w:numId w:val="12"/>
        </w:numPr>
        <w:jc w:val="both"/>
      </w:pPr>
      <w:r>
        <w:t xml:space="preserve">Chaque étape, décongélation, dilution </w:t>
      </w:r>
      <w:proofErr w:type="spellStart"/>
      <w:r>
        <w:t>etc</w:t>
      </w:r>
      <w:proofErr w:type="spellEnd"/>
      <w:r>
        <w:t xml:space="preserve"> est minutieusement </w:t>
      </w:r>
      <w:r w:rsidR="0022547A">
        <w:t xml:space="preserve">enregistrée avec des heures précises. </w:t>
      </w:r>
    </w:p>
    <w:p w14:paraId="49810182" w14:textId="532F1576" w:rsidR="00160D4E" w:rsidRDefault="00160D4E" w:rsidP="00160D4E">
      <w:pPr>
        <w:pStyle w:val="Paragraphedeliste"/>
        <w:numPr>
          <w:ilvl w:val="0"/>
          <w:numId w:val="12"/>
        </w:numPr>
        <w:jc w:val="both"/>
      </w:pPr>
      <w:r>
        <w:t>Premiers monitorings</w:t>
      </w:r>
    </w:p>
    <w:p w14:paraId="2F64BEF2" w14:textId="77777777" w:rsidR="00160D4E" w:rsidRPr="006B2CC4" w:rsidRDefault="00160D4E" w:rsidP="00641C7B">
      <w:pPr>
        <w:pStyle w:val="Titre2"/>
      </w:pPr>
      <w:r w:rsidRPr="006B2CC4">
        <w:t>Exemples d’exigences fonctionnelles attendues</w:t>
      </w:r>
      <w:r w:rsidRPr="006B2CC4">
        <w:rPr>
          <w:rFonts w:ascii="Cambria" w:hAnsi="Cambria" w:cs="Cambria"/>
        </w:rPr>
        <w:t> </w:t>
      </w:r>
      <w:r w:rsidRPr="006B2CC4">
        <w:t xml:space="preserve">: </w:t>
      </w:r>
    </w:p>
    <w:p w14:paraId="22C8EB88" w14:textId="77777777" w:rsidR="00641C7B" w:rsidRDefault="00160D4E" w:rsidP="00641C7B">
      <w:pPr>
        <w:pStyle w:val="Paragraphedeliste"/>
        <w:numPr>
          <w:ilvl w:val="0"/>
          <w:numId w:val="17"/>
        </w:numPr>
      </w:pPr>
      <w:r>
        <w:t xml:space="preserve">Adaptation des unités </w:t>
      </w:r>
      <w:r w:rsidR="00C37221">
        <w:t>lors du renseignement des doses et concentrations présente</w:t>
      </w:r>
      <w:r w:rsidR="4C513038">
        <w:t>s</w:t>
      </w:r>
      <w:r w:rsidR="00C37221">
        <w:t xml:space="preserve"> dans les flacons</w:t>
      </w:r>
      <w:r w:rsidR="00E313CF">
        <w:t xml:space="preserve"> reçus</w:t>
      </w:r>
      <w:r w:rsidR="00C37221">
        <w:t xml:space="preserve"> (XXX x 10</w:t>
      </w:r>
      <w:r w:rsidR="00C37221" w:rsidRPr="00641C7B">
        <w:rPr>
          <w:vertAlign w:val="superscript"/>
        </w:rPr>
        <w:t>x</w:t>
      </w:r>
      <w:r w:rsidR="00C37221">
        <w:t xml:space="preserve"> génome de vecteur/</w:t>
      </w:r>
      <w:proofErr w:type="spellStart"/>
      <w:r w:rsidR="00C37221">
        <w:t>mL</w:t>
      </w:r>
      <w:proofErr w:type="spellEnd"/>
      <w:r w:rsidR="00C37221">
        <w:t>, pour des thérapies cellulaires XXX x 10</w:t>
      </w:r>
      <w:proofErr w:type="gramStart"/>
      <w:r w:rsidR="00C37221" w:rsidRPr="00641C7B">
        <w:rPr>
          <w:vertAlign w:val="superscript"/>
        </w:rPr>
        <w:t xml:space="preserve">X </w:t>
      </w:r>
      <w:r w:rsidR="00C37221">
        <w:t xml:space="preserve"> cellules</w:t>
      </w:r>
      <w:proofErr w:type="gramEnd"/>
      <w:r w:rsidR="00E313CF">
        <w:t>)</w:t>
      </w:r>
      <w:r w:rsidR="00C37221">
        <w:t>.</w:t>
      </w:r>
    </w:p>
    <w:p w14:paraId="7C80A073" w14:textId="3BF43603" w:rsidR="00E313CF" w:rsidRDefault="00E313CF" w:rsidP="00641C7B">
      <w:pPr>
        <w:pStyle w:val="Paragraphedeliste"/>
        <w:numPr>
          <w:ilvl w:val="0"/>
          <w:numId w:val="17"/>
        </w:numPr>
      </w:pPr>
      <w:r>
        <w:t>Consommables</w:t>
      </w:r>
      <w:r w:rsidR="00BC4D69">
        <w:t xml:space="preserve"> et désinfectant/détergent spécifique</w:t>
      </w:r>
      <w:r>
        <w:t xml:space="preserve"> souvent fourni</w:t>
      </w:r>
      <w:r w:rsidR="0EC242DC">
        <w:t>s</w:t>
      </w:r>
      <w:r w:rsidR="00BC4D69">
        <w:t xml:space="preserve"> </w:t>
      </w:r>
      <w:r>
        <w:t xml:space="preserve">par les laboratoires, </w:t>
      </w:r>
      <w:r w:rsidR="00BC4D69">
        <w:t xml:space="preserve">information à spécifier dans la fiche de l’essai. </w:t>
      </w:r>
      <w:r w:rsidR="00F85368">
        <w:t xml:space="preserve">Ce ne sont pas des approvisionnements automatiques donc le réapprovisionnement doit être réalisé par les pharmacies. </w:t>
      </w:r>
    </w:p>
    <w:p w14:paraId="79900242" w14:textId="77777777" w:rsidR="00F85368" w:rsidRPr="002136A6" w:rsidRDefault="00F85368" w:rsidP="00306889"/>
    <w:sectPr w:rsidR="00F85368" w:rsidRPr="002136A6">
      <w:footerReference w:type="even" r:id="rId11"/>
      <w:footerReference w:type="default" r:id="rId12"/>
      <w:footerReference w:type="firs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9216E" w14:textId="77777777" w:rsidR="000B1D12" w:rsidRDefault="000B1D12" w:rsidP="00EE65B8">
      <w:pPr>
        <w:spacing w:after="0" w:line="240" w:lineRule="auto"/>
      </w:pPr>
      <w:r>
        <w:separator/>
      </w:r>
    </w:p>
  </w:endnote>
  <w:endnote w:type="continuationSeparator" w:id="0">
    <w:p w14:paraId="7DE49DB6" w14:textId="77777777" w:rsidR="000B1D12" w:rsidRDefault="000B1D12" w:rsidP="00EE65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mbria"/>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ontserrat">
    <w:panose1 w:val="02000505000000020004"/>
    <w:charset w:val="00"/>
    <w:family w:val="auto"/>
    <w:pitch w:val="variable"/>
    <w:sig w:usb0="8000002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6615F" w14:textId="2F45C426" w:rsidR="002F5E3C" w:rsidRDefault="002F5E3C">
    <w:pPr>
      <w:pStyle w:val="Pieddepage"/>
    </w:pPr>
    <w:r>
      <w:rPr>
        <w:noProof/>
      </w:rPr>
      <mc:AlternateContent>
        <mc:Choice Requires="wps">
          <w:drawing>
            <wp:anchor distT="0" distB="0" distL="0" distR="0" simplePos="0" relativeHeight="251659264" behindDoc="0" locked="0" layoutInCell="1" allowOverlap="1" wp14:anchorId="2282B980" wp14:editId="0C133939">
              <wp:simplePos x="635" y="635"/>
              <wp:positionH relativeFrom="page">
                <wp:align>center</wp:align>
              </wp:positionH>
              <wp:positionV relativeFrom="page">
                <wp:align>bottom</wp:align>
              </wp:positionV>
              <wp:extent cx="609600" cy="352425"/>
              <wp:effectExtent l="0" t="0" r="0" b="0"/>
              <wp:wrapNone/>
              <wp:docPr id="1351168157" name="Zone de texte 2"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600" cy="352425"/>
                      </a:xfrm>
                      <a:prstGeom prst="rect">
                        <a:avLst/>
                      </a:prstGeom>
                      <a:noFill/>
                      <a:ln>
                        <a:noFill/>
                      </a:ln>
                    </wps:spPr>
                    <wps:txbx>
                      <w:txbxContent>
                        <w:p w14:paraId="4B013132" w14:textId="07C92B27" w:rsidR="002F5E3C" w:rsidRPr="002F5E3C" w:rsidRDefault="002F5E3C" w:rsidP="002F5E3C">
                          <w:pPr>
                            <w:spacing w:after="0"/>
                            <w:rPr>
                              <w:rFonts w:ascii="Calibri" w:eastAsia="Calibri" w:hAnsi="Calibri" w:cs="Calibri"/>
                              <w:noProof/>
                              <w:color w:val="000000"/>
                              <w:szCs w:val="20"/>
                            </w:rPr>
                          </w:pPr>
                          <w:r w:rsidRPr="002F5E3C">
                            <w:rPr>
                              <w:rFonts w:ascii="Calibri" w:eastAsia="Calibri" w:hAnsi="Calibri" w:cs="Calibri"/>
                              <w:noProof/>
                              <w:color w:val="000000"/>
                              <w:szCs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282B980" id="_x0000_t202" coordsize="21600,21600" o:spt="202" path="m,l,21600r21600,l21600,xe">
              <v:stroke joinstyle="miter"/>
              <v:path gradientshapeok="t" o:connecttype="rect"/>
            </v:shapetype>
            <v:shape id="Zone de texte 2" o:spid="_x0000_s1026" type="#_x0000_t202" alt="C1 - Interne" style="position:absolute;margin-left:0;margin-top:0;width:48pt;height:27.7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" filled="f" stroked="f">
              <v:textbox style="mso-fit-shape-to-text:t" inset="0,0,0,15pt">
                <w:txbxContent>
                  <w:p w14:paraId="4B013132" w14:textId="07C92B27" w:rsidR="002F5E3C" w:rsidRPr="002F5E3C" w:rsidRDefault="002F5E3C" w:rsidP="002F5E3C">
                    <w:pPr>
                      <w:spacing w:after="0"/>
                      <w:rPr>
                        <w:rFonts w:ascii="Calibri" w:eastAsia="Calibri" w:hAnsi="Calibri" w:cs="Calibri"/>
                        <w:noProof/>
                        <w:color w:val="000000"/>
                        <w:szCs w:val="20"/>
                      </w:rPr>
                    </w:pPr>
                    <w:r w:rsidRPr="002F5E3C">
                      <w:rPr>
                        <w:rFonts w:ascii="Calibri" w:eastAsia="Calibri" w:hAnsi="Calibri" w:cs="Calibri"/>
                        <w:noProof/>
                        <w:color w:val="000000"/>
                        <w:szCs w:val="20"/>
                      </w:rPr>
                      <w:t>C1 - 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dxa"/>
      <w:tblInd w:w="-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90"/>
      <w:gridCol w:w="6823"/>
      <w:gridCol w:w="772"/>
    </w:tblGrid>
    <w:tr w:rsidR="003B3B09" w:rsidRPr="00DA0A5F" w14:paraId="23328641" w14:textId="77777777" w:rsidTr="00C0566B">
      <w:trPr>
        <w:trHeight w:val="300"/>
      </w:trPr>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7AF05E" w14:textId="77777777" w:rsidR="003B3B09" w:rsidRPr="00DA0A5F" w:rsidRDefault="003B3B09" w:rsidP="003B3B09">
          <w:pPr>
            <w:ind w:left="165"/>
            <w:jc w:val="center"/>
            <w:textAlignment w:val="baseline"/>
            <w:rPr>
              <w:rFonts w:eastAsia="Times New Roman" w:cs="Segoe UI"/>
              <w:color w:val="000000"/>
              <w:sz w:val="18"/>
              <w:szCs w:val="18"/>
              <w:lang w:eastAsia="fr-FR"/>
            </w:rPr>
          </w:pPr>
          <w:r w:rsidRPr="00DA0A5F">
            <w:rPr>
              <w:rFonts w:eastAsia="Times New Roman" w:cs="Segoe UI"/>
              <w:color w:val="000000"/>
              <w:sz w:val="18"/>
              <w:szCs w:val="18"/>
              <w:lang w:val="en-GB" w:eastAsia="fr-FR"/>
            </w:rPr>
            <w:t>A.P.-H.P.</w:t>
          </w:r>
          <w:r w:rsidRPr="00DA0A5F">
            <w:rPr>
              <w:rFonts w:ascii="Cambria" w:eastAsia="Times New Roman" w:hAnsi="Cambria" w:cs="Cambria"/>
              <w:color w:val="000000"/>
              <w:sz w:val="18"/>
              <w:szCs w:val="18"/>
              <w:lang w:eastAsia="fr-FR"/>
            </w:rPr>
            <w:t> </w:t>
          </w:r>
        </w:p>
      </w:tc>
      <w:tc>
        <w:tcPr>
          <w:tcW w:w="72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63FD3A" w14:textId="77777777" w:rsidR="003B3B09" w:rsidRPr="00DA0A5F" w:rsidRDefault="003B3B09" w:rsidP="003B3B09">
          <w:pPr>
            <w:jc w:val="center"/>
            <w:textAlignment w:val="baseline"/>
            <w:rPr>
              <w:rFonts w:eastAsia="Times New Roman" w:cs="Segoe UI"/>
              <w:color w:val="000000"/>
              <w:sz w:val="18"/>
              <w:szCs w:val="18"/>
              <w:lang w:eastAsia="fr-FR"/>
            </w:rPr>
          </w:pPr>
          <w:r w:rsidRPr="00DA0A5F">
            <w:rPr>
              <w:rFonts w:eastAsia="Times New Roman" w:cs="Segoe UI"/>
              <w:color w:val="000000"/>
              <w:sz w:val="18"/>
              <w:szCs w:val="18"/>
              <w:lang w:eastAsia="fr-FR"/>
            </w:rPr>
            <w:t xml:space="preserve">Consultation n° </w:t>
          </w:r>
          <w:r>
            <w:rPr>
              <w:rFonts w:eastAsia="Times New Roman" w:cs="Segoe UI"/>
              <w:color w:val="000000"/>
              <w:sz w:val="18"/>
              <w:szCs w:val="18"/>
              <w:lang w:eastAsia="fr-FR"/>
            </w:rPr>
            <w:t>23.27-IT</w:t>
          </w:r>
          <w:r w:rsidRPr="00DA0A5F">
            <w:rPr>
              <w:rFonts w:ascii="Cambria" w:eastAsia="Times New Roman" w:hAnsi="Cambria" w:cs="Cambria"/>
              <w:color w:val="000000"/>
              <w:sz w:val="18"/>
              <w:szCs w:val="18"/>
              <w:lang w:eastAsia="fr-FR"/>
            </w:rPr>
            <w:t>  </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F63A98" w14:textId="77777777" w:rsidR="003B3B09" w:rsidRPr="00DA0A5F" w:rsidRDefault="003B3B09" w:rsidP="003B3B09">
          <w:pPr>
            <w:jc w:val="center"/>
            <w:textAlignment w:val="baseline"/>
            <w:rPr>
              <w:rFonts w:eastAsia="Times New Roman" w:cs="Segoe UI"/>
              <w:color w:val="000000"/>
              <w:sz w:val="18"/>
              <w:szCs w:val="18"/>
              <w:lang w:eastAsia="fr-FR"/>
            </w:rPr>
          </w:pPr>
          <w:r w:rsidRPr="00DA0A5F">
            <w:rPr>
              <w:rFonts w:eastAsia="Times New Roman" w:cs="Segoe UI"/>
              <w:sz w:val="18"/>
              <w:szCs w:val="18"/>
              <w:lang w:val="en-GB" w:eastAsia="fr-FR"/>
            </w:rPr>
            <w:t>AGEPS</w:t>
          </w:r>
          <w:r w:rsidRPr="00DA0A5F">
            <w:rPr>
              <w:rFonts w:ascii="Cambria" w:eastAsia="Times New Roman" w:hAnsi="Cambria" w:cs="Cambria"/>
              <w:sz w:val="18"/>
              <w:szCs w:val="18"/>
              <w:lang w:eastAsia="fr-FR"/>
            </w:rPr>
            <w:t> </w:t>
          </w:r>
        </w:p>
      </w:tc>
    </w:tr>
    <w:tr w:rsidR="003B3B09" w:rsidRPr="00DA0A5F" w14:paraId="131C73D8" w14:textId="77777777" w:rsidTr="00636DB2">
      <w:trPr>
        <w:trHeight w:val="407"/>
      </w:trPr>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8ADC09" w14:textId="35404FA2" w:rsidR="003B3B09" w:rsidRPr="00DA0A5F" w:rsidRDefault="003B3B09" w:rsidP="00636DB2">
          <w:pPr>
            <w:jc w:val="center"/>
            <w:textAlignment w:val="baseline"/>
            <w:rPr>
              <w:rFonts w:eastAsia="Times New Roman" w:cs="Segoe UI"/>
              <w:color w:val="000000"/>
              <w:sz w:val="18"/>
              <w:szCs w:val="18"/>
              <w:lang w:eastAsia="fr-FR"/>
            </w:rPr>
          </w:pPr>
          <w:r>
            <w:rPr>
              <w:rFonts w:eastAsia="Times New Roman" w:cs="Segoe UI"/>
              <w:color w:val="000000"/>
              <w:sz w:val="18"/>
              <w:szCs w:val="18"/>
              <w:lang w:eastAsia="fr-FR"/>
            </w:rPr>
            <w:t>Annexe n°</w:t>
          </w:r>
          <w:r w:rsidR="00636DB2">
            <w:rPr>
              <w:rFonts w:eastAsia="Times New Roman" w:cs="Segoe UI"/>
              <w:color w:val="000000"/>
              <w:sz w:val="18"/>
              <w:szCs w:val="18"/>
              <w:lang w:eastAsia="fr-FR"/>
            </w:rPr>
            <w:t>9</w:t>
          </w:r>
        </w:p>
      </w:tc>
      <w:tc>
        <w:tcPr>
          <w:tcW w:w="72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2819A4" w14:textId="77777777" w:rsidR="003B3B09" w:rsidRPr="00DA0A5F" w:rsidRDefault="003B3B09" w:rsidP="003B3B09">
          <w:pPr>
            <w:jc w:val="center"/>
            <w:textAlignment w:val="baseline"/>
            <w:rPr>
              <w:rFonts w:eastAsia="Times New Roman" w:cs="Segoe UI"/>
              <w:color w:val="000000"/>
              <w:sz w:val="18"/>
              <w:szCs w:val="18"/>
              <w:lang w:eastAsia="fr-FR"/>
            </w:rPr>
          </w:pPr>
          <w:r w:rsidRPr="00DA0A5F">
            <w:rPr>
              <w:rFonts w:eastAsia="Times New Roman" w:cs="Segoe UI"/>
              <w:color w:val="000000"/>
              <w:sz w:val="18"/>
              <w:szCs w:val="18"/>
              <w:lang w:eastAsia="fr-FR"/>
            </w:rPr>
            <w:t>Dernière mise à jour du</w:t>
          </w:r>
          <w:r w:rsidRPr="00DA0A5F">
            <w:rPr>
              <w:rFonts w:ascii="Times New Roman" w:eastAsia="Times New Roman" w:hAnsi="Times New Roman" w:cs="Times New Roman"/>
              <w:color w:val="000000"/>
              <w:sz w:val="18"/>
              <w:szCs w:val="18"/>
              <w:lang w:eastAsia="fr-FR"/>
            </w:rPr>
            <w:t> </w:t>
          </w:r>
          <w:r w:rsidRPr="00DA0A5F">
            <w:rPr>
              <w:rFonts w:eastAsia="Times New Roman" w:cs="Segoe UI"/>
              <w:color w:val="000000"/>
              <w:sz w:val="18"/>
              <w:szCs w:val="18"/>
              <w:lang w:eastAsia="fr-FR"/>
            </w:rPr>
            <w:t>:</w:t>
          </w:r>
          <w:r w:rsidRPr="00DA0A5F">
            <w:rPr>
              <w:rFonts w:ascii="Cambria" w:eastAsia="Times New Roman" w:hAnsi="Cambria" w:cs="Cambria"/>
              <w:color w:val="000000"/>
              <w:sz w:val="18"/>
              <w:szCs w:val="18"/>
              <w:lang w:eastAsia="fr-FR"/>
            </w:rPr>
            <w:t> </w:t>
          </w:r>
          <w:r w:rsidRPr="00DA0A5F">
            <w:rPr>
              <w:rFonts w:eastAsia="Times New Roman" w:cs="Segoe UI"/>
              <w:color w:val="000000"/>
              <w:sz w:val="18"/>
              <w:szCs w:val="18"/>
              <w:lang w:eastAsia="fr-FR"/>
            </w:rPr>
            <w:t>XX/XX/2025</w:t>
          </w:r>
          <w:r w:rsidRPr="00DA0A5F">
            <w:rPr>
              <w:rFonts w:ascii="Cambria" w:eastAsia="Times New Roman" w:hAnsi="Cambria" w:cs="Cambria"/>
              <w:color w:val="000000"/>
              <w:sz w:val="18"/>
              <w:szCs w:val="18"/>
              <w:lang w:eastAsia="fr-FR"/>
            </w:rPr>
            <w:t> </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6C704A" w14:textId="77777777" w:rsidR="003B3B09" w:rsidRPr="00DA0A5F" w:rsidRDefault="003B3B09" w:rsidP="003B3B09">
          <w:pPr>
            <w:jc w:val="center"/>
            <w:textAlignment w:val="baseline"/>
            <w:rPr>
              <w:rFonts w:eastAsia="Times New Roman" w:cs="Segoe UI"/>
              <w:color w:val="000000"/>
              <w:sz w:val="18"/>
              <w:szCs w:val="18"/>
              <w:lang w:eastAsia="fr-FR"/>
            </w:rPr>
          </w:pPr>
          <w:r w:rsidRPr="0051370A">
            <w:rPr>
              <w:rFonts w:eastAsia="Times New Roman" w:cs="Segoe UI"/>
              <w:color w:val="000000"/>
              <w:sz w:val="18"/>
              <w:szCs w:val="18"/>
              <w:lang w:eastAsia="fr-FR"/>
            </w:rPr>
            <w:fldChar w:fldCharType="begin"/>
          </w:r>
          <w:r w:rsidRPr="0051370A">
            <w:rPr>
              <w:rFonts w:eastAsia="Times New Roman" w:cs="Segoe UI"/>
              <w:color w:val="000000"/>
              <w:sz w:val="18"/>
              <w:szCs w:val="18"/>
              <w:lang w:eastAsia="fr-FR"/>
            </w:rPr>
            <w:instrText xml:space="preserve"> PAGE </w:instrText>
          </w:r>
          <w:r w:rsidRPr="0051370A">
            <w:rPr>
              <w:rFonts w:eastAsia="Times New Roman" w:cs="Segoe UI"/>
              <w:color w:val="000000"/>
              <w:sz w:val="18"/>
              <w:szCs w:val="18"/>
              <w:lang w:eastAsia="fr-FR"/>
            </w:rPr>
            <w:fldChar w:fldCharType="separate"/>
          </w:r>
          <w:r w:rsidRPr="0051370A">
            <w:rPr>
              <w:rFonts w:eastAsia="Times New Roman" w:cs="Segoe UI"/>
              <w:color w:val="000000"/>
              <w:sz w:val="18"/>
              <w:szCs w:val="18"/>
              <w:lang w:eastAsia="fr-FR"/>
            </w:rPr>
            <w:t>5</w:t>
          </w:r>
          <w:r w:rsidRPr="0051370A">
            <w:rPr>
              <w:rFonts w:eastAsia="Times New Roman" w:cs="Segoe UI"/>
              <w:color w:val="000000"/>
              <w:sz w:val="18"/>
              <w:szCs w:val="18"/>
              <w:lang w:eastAsia="fr-FR"/>
            </w:rPr>
            <w:fldChar w:fldCharType="end"/>
          </w:r>
          <w:r w:rsidRPr="0051370A">
            <w:rPr>
              <w:rFonts w:eastAsia="Times New Roman" w:cs="Segoe UI"/>
              <w:color w:val="000000"/>
              <w:sz w:val="18"/>
              <w:szCs w:val="18"/>
              <w:lang w:eastAsia="fr-FR"/>
            </w:rPr>
            <w:t xml:space="preserve"> / </w:t>
          </w:r>
          <w:r w:rsidRPr="0051370A">
            <w:rPr>
              <w:rFonts w:eastAsia="Times New Roman" w:cs="Segoe UI"/>
              <w:color w:val="000000"/>
              <w:sz w:val="18"/>
              <w:szCs w:val="18"/>
              <w:lang w:eastAsia="fr-FR"/>
            </w:rPr>
            <w:fldChar w:fldCharType="begin"/>
          </w:r>
          <w:r w:rsidRPr="0051370A">
            <w:rPr>
              <w:rFonts w:eastAsia="Times New Roman" w:cs="Segoe UI"/>
              <w:color w:val="000000"/>
              <w:sz w:val="18"/>
              <w:szCs w:val="18"/>
              <w:lang w:eastAsia="fr-FR"/>
            </w:rPr>
            <w:instrText xml:space="preserve"> NUMPAGES </w:instrText>
          </w:r>
          <w:r w:rsidRPr="0051370A">
            <w:rPr>
              <w:rFonts w:eastAsia="Times New Roman" w:cs="Segoe UI"/>
              <w:color w:val="000000"/>
              <w:sz w:val="18"/>
              <w:szCs w:val="18"/>
              <w:lang w:eastAsia="fr-FR"/>
            </w:rPr>
            <w:fldChar w:fldCharType="separate"/>
          </w:r>
          <w:r w:rsidRPr="0051370A">
            <w:rPr>
              <w:rFonts w:eastAsia="Times New Roman" w:cs="Segoe UI"/>
              <w:color w:val="000000"/>
              <w:sz w:val="18"/>
              <w:szCs w:val="18"/>
              <w:lang w:eastAsia="fr-FR"/>
            </w:rPr>
            <w:t>12</w:t>
          </w:r>
          <w:r w:rsidRPr="0051370A">
            <w:rPr>
              <w:rFonts w:eastAsia="Times New Roman" w:cs="Segoe UI"/>
              <w:color w:val="000000"/>
              <w:sz w:val="18"/>
              <w:szCs w:val="18"/>
              <w:lang w:eastAsia="fr-FR"/>
            </w:rPr>
            <w:fldChar w:fldCharType="end"/>
          </w:r>
        </w:p>
      </w:tc>
    </w:tr>
  </w:tbl>
  <w:p w14:paraId="409F9F98" w14:textId="54001037" w:rsidR="00EE65B8" w:rsidRPr="003B3B09" w:rsidRDefault="00EE65B8" w:rsidP="003B3B09">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EFAB6" w14:textId="32B1E98B" w:rsidR="002F5E3C" w:rsidRDefault="002F5E3C">
    <w:pPr>
      <w:pStyle w:val="Pieddepage"/>
    </w:pPr>
    <w:r>
      <w:rPr>
        <w:noProof/>
      </w:rPr>
      <mc:AlternateContent>
        <mc:Choice Requires="wps">
          <w:drawing>
            <wp:anchor distT="0" distB="0" distL="0" distR="0" simplePos="0" relativeHeight="251658240" behindDoc="0" locked="0" layoutInCell="1" allowOverlap="1" wp14:anchorId="6E595056" wp14:editId="736BE116">
              <wp:simplePos x="635" y="635"/>
              <wp:positionH relativeFrom="page">
                <wp:align>center</wp:align>
              </wp:positionH>
              <wp:positionV relativeFrom="page">
                <wp:align>bottom</wp:align>
              </wp:positionV>
              <wp:extent cx="609600" cy="352425"/>
              <wp:effectExtent l="0" t="0" r="0" b="0"/>
              <wp:wrapNone/>
              <wp:docPr id="360412142" name="Zone de texte 1"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600" cy="352425"/>
                      </a:xfrm>
                      <a:prstGeom prst="rect">
                        <a:avLst/>
                      </a:prstGeom>
                      <a:noFill/>
                      <a:ln>
                        <a:noFill/>
                      </a:ln>
                    </wps:spPr>
                    <wps:txbx>
                      <w:txbxContent>
                        <w:p w14:paraId="7B0243FB" w14:textId="20F6FECE" w:rsidR="002F5E3C" w:rsidRPr="002F5E3C" w:rsidRDefault="002F5E3C" w:rsidP="002F5E3C">
                          <w:pPr>
                            <w:spacing w:after="0"/>
                            <w:rPr>
                              <w:rFonts w:ascii="Calibri" w:eastAsia="Calibri" w:hAnsi="Calibri" w:cs="Calibri"/>
                              <w:noProof/>
                              <w:color w:val="000000"/>
                              <w:szCs w:val="20"/>
                            </w:rPr>
                          </w:pPr>
                          <w:r w:rsidRPr="002F5E3C">
                            <w:rPr>
                              <w:rFonts w:ascii="Calibri" w:eastAsia="Calibri" w:hAnsi="Calibri" w:cs="Calibri"/>
                              <w:noProof/>
                              <w:color w:val="000000"/>
                              <w:szCs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E595056" id="_x0000_t202" coordsize="21600,21600" o:spt="202" path="m,l,21600r21600,l21600,xe">
              <v:stroke joinstyle="miter"/>
              <v:path gradientshapeok="t" o:connecttype="rect"/>
            </v:shapetype>
            <v:shape id="Zone de texte 1" o:spid="_x0000_s1027" type="#_x0000_t202" alt="C1 - Interne" style="position:absolute;margin-left:0;margin-top:0;width:48pt;height:27.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" filled="f" stroked="f">
              <v:textbox style="mso-fit-shape-to-text:t" inset="0,0,0,15pt">
                <w:txbxContent>
                  <w:p w14:paraId="7B0243FB" w14:textId="20F6FECE" w:rsidR="002F5E3C" w:rsidRPr="002F5E3C" w:rsidRDefault="002F5E3C" w:rsidP="002F5E3C">
                    <w:pPr>
                      <w:spacing w:after="0"/>
                      <w:rPr>
                        <w:rFonts w:ascii="Calibri" w:eastAsia="Calibri" w:hAnsi="Calibri" w:cs="Calibri"/>
                        <w:noProof/>
                        <w:color w:val="000000"/>
                        <w:szCs w:val="20"/>
                      </w:rPr>
                    </w:pPr>
                    <w:r w:rsidRPr="002F5E3C">
                      <w:rPr>
                        <w:rFonts w:ascii="Calibri" w:eastAsia="Calibri" w:hAnsi="Calibri" w:cs="Calibri"/>
                        <w:noProof/>
                        <w:color w:val="000000"/>
                        <w:szCs w:val="20"/>
                      </w:rPr>
                      <w:t>C1 - 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14964" w14:textId="77777777" w:rsidR="000B1D12" w:rsidRDefault="000B1D12" w:rsidP="00EE65B8">
      <w:pPr>
        <w:spacing w:after="0" w:line="240" w:lineRule="auto"/>
      </w:pPr>
      <w:r>
        <w:separator/>
      </w:r>
    </w:p>
  </w:footnote>
  <w:footnote w:type="continuationSeparator" w:id="0">
    <w:p w14:paraId="302CF2F1" w14:textId="77777777" w:rsidR="000B1D12" w:rsidRDefault="000B1D12" w:rsidP="00EE65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E3170"/>
    <w:multiLevelType w:val="hybridMultilevel"/>
    <w:tmpl w:val="B42466D2"/>
    <w:lvl w:ilvl="0" w:tplc="538223E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163900"/>
    <w:multiLevelType w:val="hybridMultilevel"/>
    <w:tmpl w:val="55DC2F5E"/>
    <w:lvl w:ilvl="0" w:tplc="D5D4D656">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CE02F5C"/>
    <w:multiLevelType w:val="hybridMultilevel"/>
    <w:tmpl w:val="15EE8A6C"/>
    <w:lvl w:ilvl="0" w:tplc="65C82A9C">
      <w:start w:val="1"/>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0471429"/>
    <w:multiLevelType w:val="hybridMultilevel"/>
    <w:tmpl w:val="D564E798"/>
    <w:lvl w:ilvl="0" w:tplc="414098F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2CB2DC5"/>
    <w:multiLevelType w:val="hybridMultilevel"/>
    <w:tmpl w:val="828EE1D8"/>
    <w:lvl w:ilvl="0" w:tplc="B0ECFB2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2C76FDF"/>
    <w:multiLevelType w:val="hybridMultilevel"/>
    <w:tmpl w:val="7032C844"/>
    <w:lvl w:ilvl="0" w:tplc="040C001B">
      <w:start w:val="1"/>
      <w:numFmt w:val="lowerRoman"/>
      <w:lvlText w:val="%1."/>
      <w:lvlJc w:val="righ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E64BAF"/>
    <w:multiLevelType w:val="hybridMultilevel"/>
    <w:tmpl w:val="828EE1D8"/>
    <w:lvl w:ilvl="0" w:tplc="B0ECFB2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7842D05"/>
    <w:multiLevelType w:val="hybridMultilevel"/>
    <w:tmpl w:val="DA1CDFE6"/>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36C7366E"/>
    <w:multiLevelType w:val="hybridMultilevel"/>
    <w:tmpl w:val="2F8690EA"/>
    <w:lvl w:ilvl="0" w:tplc="7C684736">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9A22A2B"/>
    <w:multiLevelType w:val="hybridMultilevel"/>
    <w:tmpl w:val="0B74C8B2"/>
    <w:lvl w:ilvl="0" w:tplc="538223E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0B60F2"/>
    <w:multiLevelType w:val="hybridMultilevel"/>
    <w:tmpl w:val="C20CBB72"/>
    <w:lvl w:ilvl="0" w:tplc="538223E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1634347"/>
    <w:multiLevelType w:val="hybridMultilevel"/>
    <w:tmpl w:val="8B8AC2D4"/>
    <w:lvl w:ilvl="0" w:tplc="D74E87F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48E46AA"/>
    <w:multiLevelType w:val="hybridMultilevel"/>
    <w:tmpl w:val="828EE1D8"/>
    <w:lvl w:ilvl="0" w:tplc="B0ECFB2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7B86885"/>
    <w:multiLevelType w:val="hybridMultilevel"/>
    <w:tmpl w:val="31C6C1C6"/>
    <w:lvl w:ilvl="0" w:tplc="FB5A68EA">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BF1065E"/>
    <w:multiLevelType w:val="hybridMultilevel"/>
    <w:tmpl w:val="CC1E282E"/>
    <w:lvl w:ilvl="0" w:tplc="538223E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E444F3"/>
    <w:multiLevelType w:val="hybridMultilevel"/>
    <w:tmpl w:val="D0E44104"/>
    <w:lvl w:ilvl="0" w:tplc="80E6649A">
      <w:start w:val="1"/>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5E92E73"/>
    <w:multiLevelType w:val="hybridMultilevel"/>
    <w:tmpl w:val="8E7A7EB4"/>
    <w:lvl w:ilvl="0" w:tplc="47166EBC">
      <w:start w:val="2"/>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3"/>
  </w:num>
  <w:num w:numId="4">
    <w:abstractNumId w:val="7"/>
  </w:num>
  <w:num w:numId="5">
    <w:abstractNumId w:val="15"/>
  </w:num>
  <w:num w:numId="6">
    <w:abstractNumId w:val="5"/>
  </w:num>
  <w:num w:numId="7">
    <w:abstractNumId w:val="16"/>
  </w:num>
  <w:num w:numId="8">
    <w:abstractNumId w:val="6"/>
  </w:num>
  <w:num w:numId="9">
    <w:abstractNumId w:val="4"/>
  </w:num>
  <w:num w:numId="10">
    <w:abstractNumId w:val="1"/>
  </w:num>
  <w:num w:numId="11">
    <w:abstractNumId w:val="11"/>
  </w:num>
  <w:num w:numId="12">
    <w:abstractNumId w:val="13"/>
  </w:num>
  <w:num w:numId="13">
    <w:abstractNumId w:val="9"/>
  </w:num>
  <w:num w:numId="14">
    <w:abstractNumId w:val="2"/>
  </w:num>
  <w:num w:numId="15">
    <w:abstractNumId w:val="0"/>
  </w:num>
  <w:num w:numId="16">
    <w:abstractNumId w:val="10"/>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CE13B35"/>
    <w:rsid w:val="00005FFF"/>
    <w:rsid w:val="000243A8"/>
    <w:rsid w:val="0003449F"/>
    <w:rsid w:val="00051589"/>
    <w:rsid w:val="000561F7"/>
    <w:rsid w:val="000636D3"/>
    <w:rsid w:val="000B1D12"/>
    <w:rsid w:val="000B3A5C"/>
    <w:rsid w:val="000D465E"/>
    <w:rsid w:val="000F284A"/>
    <w:rsid w:val="001141FC"/>
    <w:rsid w:val="001501E9"/>
    <w:rsid w:val="00160D4E"/>
    <w:rsid w:val="00192A96"/>
    <w:rsid w:val="001B1FEA"/>
    <w:rsid w:val="001D1A71"/>
    <w:rsid w:val="001E1DCE"/>
    <w:rsid w:val="002136A6"/>
    <w:rsid w:val="0022547A"/>
    <w:rsid w:val="00236A6F"/>
    <w:rsid w:val="002608A0"/>
    <w:rsid w:val="00284760"/>
    <w:rsid w:val="0028685D"/>
    <w:rsid w:val="00297690"/>
    <w:rsid w:val="002B7CC4"/>
    <w:rsid w:val="002C099F"/>
    <w:rsid w:val="002E0FAA"/>
    <w:rsid w:val="002F5E3C"/>
    <w:rsid w:val="00306889"/>
    <w:rsid w:val="003606A7"/>
    <w:rsid w:val="00364D73"/>
    <w:rsid w:val="003B3B09"/>
    <w:rsid w:val="003B48DE"/>
    <w:rsid w:val="003F4D8A"/>
    <w:rsid w:val="004151F7"/>
    <w:rsid w:val="004E64E6"/>
    <w:rsid w:val="00526E99"/>
    <w:rsid w:val="00544753"/>
    <w:rsid w:val="00570154"/>
    <w:rsid w:val="00572E11"/>
    <w:rsid w:val="005C4062"/>
    <w:rsid w:val="00631EBF"/>
    <w:rsid w:val="00636DB2"/>
    <w:rsid w:val="00640AD6"/>
    <w:rsid w:val="00641C7B"/>
    <w:rsid w:val="00643D80"/>
    <w:rsid w:val="00671943"/>
    <w:rsid w:val="00674265"/>
    <w:rsid w:val="0069075A"/>
    <w:rsid w:val="00692CAF"/>
    <w:rsid w:val="006A2C22"/>
    <w:rsid w:val="006A36EA"/>
    <w:rsid w:val="006B2CC4"/>
    <w:rsid w:val="006E7D05"/>
    <w:rsid w:val="006F469F"/>
    <w:rsid w:val="00723CD8"/>
    <w:rsid w:val="0073604E"/>
    <w:rsid w:val="00736E56"/>
    <w:rsid w:val="00743A07"/>
    <w:rsid w:val="00754CD0"/>
    <w:rsid w:val="00781A4F"/>
    <w:rsid w:val="007D6F18"/>
    <w:rsid w:val="0084263F"/>
    <w:rsid w:val="008776A2"/>
    <w:rsid w:val="00930753"/>
    <w:rsid w:val="00937AC0"/>
    <w:rsid w:val="009436B1"/>
    <w:rsid w:val="0098005D"/>
    <w:rsid w:val="009A71CB"/>
    <w:rsid w:val="009E1E89"/>
    <w:rsid w:val="009E34A1"/>
    <w:rsid w:val="00A136FB"/>
    <w:rsid w:val="00A512A3"/>
    <w:rsid w:val="00A64750"/>
    <w:rsid w:val="00AA0174"/>
    <w:rsid w:val="00AA5F9E"/>
    <w:rsid w:val="00AA7BFE"/>
    <w:rsid w:val="00AB0E60"/>
    <w:rsid w:val="00B00371"/>
    <w:rsid w:val="00B23913"/>
    <w:rsid w:val="00B2698E"/>
    <w:rsid w:val="00B51C03"/>
    <w:rsid w:val="00B81812"/>
    <w:rsid w:val="00B87485"/>
    <w:rsid w:val="00BC4D69"/>
    <w:rsid w:val="00BF4C75"/>
    <w:rsid w:val="00C02FCC"/>
    <w:rsid w:val="00C37221"/>
    <w:rsid w:val="00C43D21"/>
    <w:rsid w:val="00CA7E58"/>
    <w:rsid w:val="00CC04C7"/>
    <w:rsid w:val="00CD3077"/>
    <w:rsid w:val="00D21313"/>
    <w:rsid w:val="00D25661"/>
    <w:rsid w:val="00D64B77"/>
    <w:rsid w:val="00D85CEB"/>
    <w:rsid w:val="00DB2EAC"/>
    <w:rsid w:val="00DB5362"/>
    <w:rsid w:val="00E218C0"/>
    <w:rsid w:val="00E3125A"/>
    <w:rsid w:val="00E313CF"/>
    <w:rsid w:val="00E65EC8"/>
    <w:rsid w:val="00E6626D"/>
    <w:rsid w:val="00E800C4"/>
    <w:rsid w:val="00E85145"/>
    <w:rsid w:val="00EA6CD5"/>
    <w:rsid w:val="00EE65B8"/>
    <w:rsid w:val="00EF2185"/>
    <w:rsid w:val="00F85368"/>
    <w:rsid w:val="00FE3D0E"/>
    <w:rsid w:val="017F274F"/>
    <w:rsid w:val="04BDBA8E"/>
    <w:rsid w:val="07C1E3C9"/>
    <w:rsid w:val="09A5BCB6"/>
    <w:rsid w:val="0EC242DC"/>
    <w:rsid w:val="2CE13B35"/>
    <w:rsid w:val="3BFC59BC"/>
    <w:rsid w:val="40D0DAF9"/>
    <w:rsid w:val="475FEA5F"/>
    <w:rsid w:val="4C513038"/>
    <w:rsid w:val="5865D874"/>
    <w:rsid w:val="6AFE343C"/>
    <w:rsid w:val="74C0B313"/>
    <w:rsid w:val="77357A45"/>
    <w:rsid w:val="79B55EF3"/>
    <w:rsid w:val="7B68AF0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E13B35"/>
  <w15:chartTrackingRefBased/>
  <w15:docId w15:val="{4B99D152-B908-4124-9C0A-B12D51865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3A07"/>
    <w:rPr>
      <w:rFonts w:ascii="Montserrat" w:hAnsi="Montserrat"/>
      <w:sz w:val="20"/>
    </w:rPr>
  </w:style>
  <w:style w:type="paragraph" w:styleId="Titre1">
    <w:name w:val="heading 1"/>
    <w:basedOn w:val="Normal"/>
    <w:next w:val="Normal"/>
    <w:link w:val="Titre1Car"/>
    <w:uiPriority w:val="9"/>
    <w:qFormat/>
    <w:rsid w:val="00743A07"/>
    <w:pPr>
      <w:keepNext/>
      <w:keepLines/>
      <w:spacing w:before="240" w:after="0"/>
      <w:outlineLvl w:val="0"/>
    </w:pPr>
    <w:rPr>
      <w:rFonts w:eastAsiaTheme="majorEastAsia" w:cstheme="majorBidi"/>
      <w:color w:val="0F4761" w:themeColor="accent1" w:themeShade="BF"/>
      <w:sz w:val="32"/>
      <w:szCs w:val="32"/>
    </w:rPr>
  </w:style>
  <w:style w:type="paragraph" w:styleId="Titre2">
    <w:name w:val="heading 2"/>
    <w:basedOn w:val="Normal"/>
    <w:next w:val="Normal"/>
    <w:link w:val="Titre2Car"/>
    <w:uiPriority w:val="9"/>
    <w:unhideWhenUsed/>
    <w:qFormat/>
    <w:rsid w:val="00743A07"/>
    <w:pPr>
      <w:keepNext/>
      <w:keepLines/>
      <w:spacing w:before="40" w:after="0"/>
      <w:outlineLvl w:val="1"/>
    </w:pPr>
    <w:rPr>
      <w:rFonts w:eastAsiaTheme="majorEastAsia" w:cstheme="majorBidi"/>
      <w:color w:val="0F4761" w:themeColor="accent1" w:themeShade="BF"/>
      <w:sz w:val="28"/>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F469F"/>
    <w:pPr>
      <w:ind w:left="720"/>
      <w:contextualSpacing/>
    </w:pPr>
  </w:style>
  <w:style w:type="character" w:customStyle="1" w:styleId="Titre1Car">
    <w:name w:val="Titre 1 Car"/>
    <w:basedOn w:val="Policepardfaut"/>
    <w:link w:val="Titre1"/>
    <w:uiPriority w:val="9"/>
    <w:rsid w:val="00743A07"/>
    <w:rPr>
      <w:rFonts w:ascii="Montserrat" w:eastAsiaTheme="majorEastAsia" w:hAnsi="Montserrat" w:cstheme="majorBidi"/>
      <w:color w:val="0F4761" w:themeColor="accent1" w:themeShade="BF"/>
      <w:sz w:val="32"/>
      <w:szCs w:val="32"/>
    </w:rPr>
  </w:style>
  <w:style w:type="paragraph" w:styleId="En-ttedetabledesmatires">
    <w:name w:val="TOC Heading"/>
    <w:basedOn w:val="Titre1"/>
    <w:next w:val="Normal"/>
    <w:uiPriority w:val="39"/>
    <w:unhideWhenUsed/>
    <w:qFormat/>
    <w:rsid w:val="00723CD8"/>
    <w:pPr>
      <w:spacing w:line="259" w:lineRule="auto"/>
      <w:outlineLvl w:val="9"/>
    </w:pPr>
    <w:rPr>
      <w:lang w:eastAsia="fr-FR"/>
    </w:rPr>
  </w:style>
  <w:style w:type="paragraph" w:styleId="TM1">
    <w:name w:val="toc 1"/>
    <w:basedOn w:val="Normal"/>
    <w:next w:val="Normal"/>
    <w:autoRedefine/>
    <w:uiPriority w:val="39"/>
    <w:unhideWhenUsed/>
    <w:rsid w:val="00723CD8"/>
    <w:pPr>
      <w:spacing w:after="100"/>
    </w:pPr>
  </w:style>
  <w:style w:type="character" w:styleId="Lienhypertexte">
    <w:name w:val="Hyperlink"/>
    <w:basedOn w:val="Policepardfaut"/>
    <w:uiPriority w:val="99"/>
    <w:unhideWhenUsed/>
    <w:rsid w:val="00723CD8"/>
    <w:rPr>
      <w:color w:val="467886" w:themeColor="hyperlink"/>
      <w:u w:val="single"/>
    </w:rPr>
  </w:style>
  <w:style w:type="paragraph" w:styleId="En-tte">
    <w:name w:val="header"/>
    <w:basedOn w:val="Normal"/>
    <w:link w:val="En-tteCar"/>
    <w:uiPriority w:val="99"/>
    <w:unhideWhenUsed/>
    <w:rsid w:val="00EE65B8"/>
    <w:pPr>
      <w:tabs>
        <w:tab w:val="center" w:pos="4536"/>
        <w:tab w:val="right" w:pos="9072"/>
      </w:tabs>
      <w:spacing w:after="0" w:line="240" w:lineRule="auto"/>
    </w:pPr>
  </w:style>
  <w:style w:type="character" w:customStyle="1" w:styleId="En-tteCar">
    <w:name w:val="En-tête Car"/>
    <w:basedOn w:val="Policepardfaut"/>
    <w:link w:val="En-tte"/>
    <w:uiPriority w:val="99"/>
    <w:rsid w:val="00EE65B8"/>
  </w:style>
  <w:style w:type="paragraph" w:styleId="Pieddepage">
    <w:name w:val="footer"/>
    <w:basedOn w:val="Normal"/>
    <w:link w:val="PieddepageCar"/>
    <w:uiPriority w:val="99"/>
    <w:unhideWhenUsed/>
    <w:rsid w:val="00EE65B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E65B8"/>
  </w:style>
  <w:style w:type="character" w:customStyle="1" w:styleId="normaltextrun">
    <w:name w:val="normaltextrun"/>
    <w:basedOn w:val="Policepardfaut"/>
    <w:rsid w:val="0069075A"/>
  </w:style>
  <w:style w:type="character" w:customStyle="1" w:styleId="eop">
    <w:name w:val="eop"/>
    <w:basedOn w:val="Policepardfaut"/>
    <w:rsid w:val="0069075A"/>
  </w:style>
  <w:style w:type="paragraph" w:styleId="Titre">
    <w:name w:val="Title"/>
    <w:basedOn w:val="Normal"/>
    <w:next w:val="Normal"/>
    <w:link w:val="TitreCar"/>
    <w:uiPriority w:val="10"/>
    <w:qFormat/>
    <w:rsid w:val="00743A07"/>
    <w:pPr>
      <w:spacing w:after="0" w:line="240" w:lineRule="auto"/>
      <w:contextualSpacing/>
    </w:pPr>
    <w:rPr>
      <w:rFonts w:eastAsiaTheme="majorEastAsia" w:cstheme="majorBidi"/>
      <w:color w:val="002060"/>
      <w:spacing w:val="-10"/>
      <w:kern w:val="28"/>
      <w:sz w:val="56"/>
      <w:szCs w:val="56"/>
    </w:rPr>
  </w:style>
  <w:style w:type="character" w:customStyle="1" w:styleId="TitreCar">
    <w:name w:val="Titre Car"/>
    <w:basedOn w:val="Policepardfaut"/>
    <w:link w:val="Titre"/>
    <w:uiPriority w:val="10"/>
    <w:rsid w:val="00743A07"/>
    <w:rPr>
      <w:rFonts w:ascii="Montserrat" w:eastAsiaTheme="majorEastAsia" w:hAnsi="Montserrat" w:cstheme="majorBidi"/>
      <w:color w:val="002060"/>
      <w:spacing w:val="-10"/>
      <w:kern w:val="28"/>
      <w:sz w:val="56"/>
      <w:szCs w:val="56"/>
    </w:rPr>
  </w:style>
  <w:style w:type="character" w:customStyle="1" w:styleId="Titre2Car">
    <w:name w:val="Titre 2 Car"/>
    <w:basedOn w:val="Policepardfaut"/>
    <w:link w:val="Titre2"/>
    <w:uiPriority w:val="9"/>
    <w:rsid w:val="00743A07"/>
    <w:rPr>
      <w:rFonts w:ascii="Montserrat" w:eastAsiaTheme="majorEastAsia" w:hAnsi="Montserrat" w:cstheme="majorBidi"/>
      <w:color w:val="0F4761" w:themeColor="accent1" w:themeShade="BF"/>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8D670A6B1C50941BACF6336BA2B3BDC" ma:contentTypeVersion="4" ma:contentTypeDescription="Crée un document." ma:contentTypeScope="" ma:versionID="4119184971e3829b5d0eec7d0c045fd9">
  <xsd:schema xmlns:xsd="http://www.w3.org/2001/XMLSchema" xmlns:xs="http://www.w3.org/2001/XMLSchema" xmlns:p="http://schemas.microsoft.com/office/2006/metadata/properties" xmlns:ns2="acdde575-48c8-4316-a18f-3b205fb9d3f6" targetNamespace="http://schemas.microsoft.com/office/2006/metadata/properties" ma:root="true" ma:fieldsID="adb04b03b888dd41c17305fc26299525" ns2:_="">
    <xsd:import namespace="acdde575-48c8-4316-a18f-3b205fb9d3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de575-48c8-4316-a18f-3b205fb9d3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5E6CD-9CAF-4D70-9F82-2F26821C9681}">
  <ds:schemaRefs>
    <ds:schemaRef ds:uri="acdde575-48c8-4316-a18f-3b205fb9d3f6"/>
    <ds:schemaRef ds:uri="http://schemas.microsoft.com/office/2006/documentManagement/types"/>
    <ds:schemaRef ds:uri="http://schemas.microsoft.com/office/2006/metadata/properties"/>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8C7255EA-CB46-496C-A423-7651B522A15B}">
  <ds:schemaRefs>
    <ds:schemaRef ds:uri="http://schemas.microsoft.com/sharepoint/v3/contenttype/forms"/>
  </ds:schemaRefs>
</ds:datastoreItem>
</file>

<file path=customXml/itemProps3.xml><?xml version="1.0" encoding="utf-8"?>
<ds:datastoreItem xmlns:ds="http://schemas.openxmlformats.org/officeDocument/2006/customXml" ds:itemID="{8D7205B2-E65F-4F62-B91B-CD9B773358DE}"/>
</file>

<file path=customXml/itemProps4.xml><?xml version="1.0" encoding="utf-8"?>
<ds:datastoreItem xmlns:ds="http://schemas.openxmlformats.org/officeDocument/2006/customXml" ds:itemID="{CCC1506A-B547-41DE-BFC4-1FDE352A2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1450</Words>
  <Characters>7977</Characters>
  <Application>Microsoft Office Word</Application>
  <DocSecurity>0</DocSecurity>
  <Lines>66</Lines>
  <Paragraphs>18</Paragraphs>
  <ScaleCrop>false</ScaleCrop>
  <Company/>
  <LinksUpToDate>false</LinksUpToDate>
  <CharactersWithSpaces>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HINTERLANG Mélanie</dc:creator>
  <cp:keywords/>
  <dc:description/>
  <cp:lastModifiedBy>PERNIN Maylis</cp:lastModifiedBy>
  <cp:revision>10</cp:revision>
  <dcterms:created xsi:type="dcterms:W3CDTF">2025-08-11T15:24:00Z</dcterms:created>
  <dcterms:modified xsi:type="dcterms:W3CDTF">2025-08-11T15:26:00Z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0x01010058D670A6B1C50941BACF6336BA2B3BDC</vt:lpwstr>
  </property>
  <property fmtid="{D5CDD505-2E9C-101B-9397-08002B2CF9AE}" pid="3" name="ClassificationContentMarkingFooterShapeIds">
    <vt:lpwstr>157b73ee,5089309d,5e742eba</vt:lpwstr>
  </property>
  <property fmtid="{D5CDD505-2E9C-101B-9397-08002B2CF9AE}" pid="4" name="ClassificationContentMarkingFooterFontProps">
    <vt:lpwstr>#000000,10,Calibri</vt:lpwstr>
  </property>
  <property fmtid="{D5CDD505-2E9C-101B-9397-08002B2CF9AE}" pid="5" name="ClassificationContentMarkingFooterText">
    <vt:lpwstr>C1 - Interne</vt:lpwstr>
  </property>
  <property fmtid="{D5CDD505-2E9C-101B-9397-08002B2CF9AE}" pid="6" name="MSIP_Label_591d6119-873b-4397-8a13-8f0b0381b9bf_Enabled">
    <vt:lpwstr>true</vt:lpwstr>
  </property>
  <property fmtid="{D5CDD505-2E9C-101B-9397-08002B2CF9AE}" pid="7" name="MSIP_Label_591d6119-873b-4397-8a13-8f0b0381b9bf_SetDate">
    <vt:lpwstr>2025-01-08T15:22:52Z</vt:lpwstr>
  </property>
  <property fmtid="{D5CDD505-2E9C-101B-9397-08002B2CF9AE}" pid="8" name="MSIP_Label_591d6119-873b-4397-8a13-8f0b0381b9bf_Method">
    <vt:lpwstr>Standard</vt:lpwstr>
  </property>
  <property fmtid="{D5CDD505-2E9C-101B-9397-08002B2CF9AE}" pid="9" name="MSIP_Label_591d6119-873b-4397-8a13-8f0b0381b9bf_Name">
    <vt:lpwstr>C1 - Interne</vt:lpwstr>
  </property>
  <property fmtid="{D5CDD505-2E9C-101B-9397-08002B2CF9AE}" pid="10" name="MSIP_Label_591d6119-873b-4397-8a13-8f0b0381b9bf_SiteId">
    <vt:lpwstr>905eea10-a76c-4815-8160-ba433c63cfd5</vt:lpwstr>
  </property>
  <property fmtid="{D5CDD505-2E9C-101B-9397-08002B2CF9AE}" pid="11" name="MSIP_Label_591d6119-873b-4397-8a13-8f0b0381b9bf_ActionId">
    <vt:lpwstr>3c7d7a00-1ba5-4eb5-be0c-9268d6af7904</vt:lpwstr>
  </property>
  <property fmtid="{D5CDD505-2E9C-101B-9397-08002B2CF9AE}" pid="12" name="MSIP_Label_591d6119-873b-4397-8a13-8f0b0381b9bf_ContentBits">
    <vt:lpwstr>2</vt:lpwstr>
  </property>
  <property fmtid="{D5CDD505-2E9C-101B-9397-08002B2CF9AE}" pid="13" name="MSIP_Label_591d6119-873b-4397-8a13-8f0b0381b9bf_Tag">
    <vt:lpwstr>10, 3, 0, 2</vt:lpwstr>
  </property>
</Properties>
</file>